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E24" w:rsidRDefault="00AB0E24" w:rsidP="00DC21F0">
      <w:pPr>
        <w:pStyle w:val="a3"/>
        <w:spacing w:line="360" w:lineRule="auto"/>
        <w:jc w:val="both"/>
        <w:rPr>
          <w:rFonts w:ascii="Verdana" w:hAnsi="Verdana"/>
          <w:b/>
          <w:lang w:val="el-GR"/>
        </w:rPr>
      </w:pPr>
      <w:r>
        <w:rPr>
          <w:rFonts w:ascii="Verdana" w:hAnsi="Verdana"/>
          <w:b/>
          <w:lang w:val="el-GR"/>
        </w:rPr>
        <w:t>Β. ΕΠΙΛΕΞΙΜΕΣ ΔΑΠΑΝΕΣ ΕΚΤΟΣ ΠΕΡΙΦΕΡΕΙΑΚΩΝ ΕΝΙΣΧΥΣΕΩΝ (Άρθρο 7 ν.4887/2022)</w:t>
      </w:r>
    </w:p>
    <w:p w:rsidR="00AB0E24" w:rsidRPr="00CA2F82" w:rsidRDefault="00AB0E24" w:rsidP="00AB0E24">
      <w:pPr>
        <w:spacing w:line="360" w:lineRule="auto"/>
        <w:jc w:val="both"/>
        <w:rPr>
          <w:rFonts w:ascii="Verdana" w:hAnsi="Verdana" w:cstheme="minorHAnsi"/>
          <w:lang w:val="el-GR"/>
        </w:rPr>
      </w:pPr>
    </w:p>
    <w:p w:rsidR="00997FEC" w:rsidRPr="00997FEC" w:rsidRDefault="00997FEC" w:rsidP="00997FEC">
      <w:pPr>
        <w:spacing w:line="360" w:lineRule="auto"/>
        <w:jc w:val="both"/>
        <w:rPr>
          <w:rFonts w:ascii="Verdana" w:hAnsi="Verdana" w:cstheme="minorHAnsi"/>
          <w:lang w:val="el-GR"/>
        </w:rPr>
      </w:pPr>
      <w:r w:rsidRPr="00997FEC">
        <w:rPr>
          <w:rFonts w:ascii="Verdana" w:hAnsi="Verdana" w:cstheme="minorHAnsi"/>
          <w:lang w:val="el-GR"/>
        </w:rPr>
        <w:t>Το συνολικό ποσό ενίσχυσης ανά επενδυτικό σχέδιο που αφορά τις επιλέξιμες δαπάνες εκτός περιφερειακών ενισχύσεων του άρθρου 7 δεν μπορεί να υπερβεί το ένα εκατομμύριο (1.000.000) ευρώ και το 10% του συνολικού ποσού ενίσχυσης για τις επιλέξιμες δαπάνες περιφερεια</w:t>
      </w:r>
      <w:r>
        <w:rPr>
          <w:rFonts w:ascii="Verdana" w:hAnsi="Verdana" w:cstheme="minorHAnsi"/>
          <w:lang w:val="el-GR"/>
        </w:rPr>
        <w:t>κών ενισχύσεων του άρθρου 6 της παρούσας προκήρυξης.</w:t>
      </w:r>
    </w:p>
    <w:p w:rsidR="00997FEC" w:rsidRPr="00997FEC" w:rsidRDefault="00997FEC" w:rsidP="00997FEC">
      <w:pPr>
        <w:spacing w:line="360" w:lineRule="auto"/>
        <w:jc w:val="both"/>
        <w:rPr>
          <w:rFonts w:ascii="Verdana" w:hAnsi="Verdana" w:cstheme="minorHAnsi"/>
          <w:lang w:val="el-GR"/>
        </w:rPr>
      </w:pPr>
      <w:r w:rsidRPr="00997FEC">
        <w:rPr>
          <w:rFonts w:ascii="Verdana" w:hAnsi="Verdana" w:cstheme="minorHAnsi"/>
          <w:lang w:val="el-GR"/>
        </w:rPr>
        <w:t>Η ρύθμιση αυτή δεν αφορά τ</w:t>
      </w:r>
      <w:r w:rsidR="008642BF">
        <w:rPr>
          <w:rFonts w:ascii="Verdana" w:hAnsi="Verdana" w:cstheme="minorHAnsi"/>
          <w:lang w:val="el-GR"/>
        </w:rPr>
        <w:t>ις επιλέξιμες δαπάνες της περ. ε</w:t>
      </w:r>
      <w:r w:rsidRPr="00997FEC">
        <w:rPr>
          <w:rFonts w:ascii="Verdana" w:hAnsi="Verdana" w:cstheme="minorHAnsi"/>
          <w:lang w:val="el-GR"/>
        </w:rPr>
        <w:t xml:space="preserve"> (δαπάνες για επενδυτικές ενισχύσεις πρ</w:t>
      </w:r>
      <w:r>
        <w:rPr>
          <w:rFonts w:ascii="Verdana" w:hAnsi="Verdana" w:cstheme="minorHAnsi"/>
          <w:lang w:val="el-GR"/>
        </w:rPr>
        <w:t>ος ΜΜΕ) της παρ. 1 του άρθρου 7 της παρούσας προκήρυξης.</w:t>
      </w:r>
      <w:r w:rsidR="0067290E">
        <w:rPr>
          <w:rFonts w:ascii="Verdana" w:hAnsi="Verdana" w:cstheme="minorHAnsi"/>
          <w:lang w:val="el-GR"/>
        </w:rPr>
        <w:t xml:space="preserve"> Στην περίπτωση αυτή οι λοιπές ανώτατες δαπάνες εκτός περιφερειακών ενισχύσεων ορίζονται </w:t>
      </w:r>
      <w:r w:rsidR="008642BF">
        <w:rPr>
          <w:rFonts w:ascii="Verdana" w:hAnsi="Verdana" w:cstheme="minorHAnsi"/>
          <w:lang w:val="el-GR"/>
        </w:rPr>
        <w:t>μέχρι</w:t>
      </w:r>
      <w:r w:rsidR="0067290E">
        <w:rPr>
          <w:rFonts w:ascii="Verdana" w:hAnsi="Verdana" w:cstheme="minorHAnsi"/>
          <w:lang w:val="el-GR"/>
        </w:rPr>
        <w:t xml:space="preserve"> του ύψους του ενός εκατομμυρίου ευρώ  (1.000.000€)</w:t>
      </w:r>
      <w:r w:rsidR="008642BF">
        <w:rPr>
          <w:rFonts w:ascii="Verdana" w:hAnsi="Verdana" w:cstheme="minorHAnsi"/>
          <w:lang w:val="el-GR"/>
        </w:rPr>
        <w:t>.</w:t>
      </w: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 xml:space="preserve">Οι δαπάνες εκτός Περιφερειακών Ενισχύσεων κατατάσσονται για τις ανάγκες της παρούσας προκήρυξης στις παρακάτω κατηγορίες: </w:t>
      </w:r>
    </w:p>
    <w:p w:rsidR="00AB0E24" w:rsidRDefault="00AB0E24" w:rsidP="00AB0E24">
      <w:pPr>
        <w:spacing w:before="120"/>
        <w:ind w:right="731"/>
        <w:jc w:val="both"/>
        <w:rPr>
          <w:rFonts w:ascii="Verdana" w:hAnsi="Verdana" w:cstheme="minorHAnsi"/>
          <w:lang w:val="el-GR"/>
        </w:rPr>
      </w:pPr>
    </w:p>
    <w:tbl>
      <w:tblPr>
        <w:tblW w:w="9796" w:type="dxa"/>
        <w:tblInd w:w="93" w:type="dxa"/>
        <w:tblLayout w:type="fixed"/>
        <w:tblLook w:val="04A0" w:firstRow="1" w:lastRow="0" w:firstColumn="1" w:lastColumn="0" w:noHBand="0" w:noVBand="1"/>
      </w:tblPr>
      <w:tblGrid>
        <w:gridCol w:w="441"/>
        <w:gridCol w:w="9355"/>
      </w:tblGrid>
      <w:tr w:rsidR="00AB0E24" w:rsidRPr="000F0602" w:rsidTr="00D451E9">
        <w:trPr>
          <w:trHeight w:val="255"/>
        </w:trPr>
        <w:tc>
          <w:tcPr>
            <w:tcW w:w="9796" w:type="dxa"/>
            <w:gridSpan w:val="2"/>
            <w:tcBorders>
              <w:top w:val="single" w:sz="4" w:space="0" w:color="auto"/>
              <w:left w:val="single" w:sz="4" w:space="0" w:color="auto"/>
              <w:bottom w:val="single" w:sz="4" w:space="0" w:color="auto"/>
              <w:right w:val="single" w:sz="4" w:space="0" w:color="000000"/>
            </w:tcBorders>
            <w:shd w:val="clear" w:color="auto" w:fill="C0C0C0"/>
            <w:vAlign w:val="center"/>
            <w:hideMark/>
          </w:tcPr>
          <w:p w:rsidR="00AB0E24" w:rsidRDefault="00AB0E24">
            <w:pPr>
              <w:spacing w:before="60" w:after="60" w:line="276" w:lineRule="auto"/>
              <w:ind w:right="731"/>
              <w:jc w:val="center"/>
              <w:rPr>
                <w:rFonts w:ascii="Verdana" w:hAnsi="Verdana" w:cs="Arial"/>
                <w:b/>
                <w:bCs/>
                <w:color w:val="000000"/>
                <w:lang w:val="el-GR" w:eastAsia="en-US"/>
              </w:rPr>
            </w:pPr>
            <w:r>
              <w:rPr>
                <w:rFonts w:ascii="Verdana" w:hAnsi="Verdana" w:cs="Arial"/>
                <w:b/>
                <w:bCs/>
                <w:color w:val="000000"/>
                <w:lang w:val="el-GR" w:eastAsia="en-US"/>
              </w:rPr>
              <w:t xml:space="preserve">Επιλέξιμες Δαπάνες </w:t>
            </w:r>
            <w:r>
              <w:rPr>
                <w:rFonts w:ascii="Verdana" w:hAnsi="Verdana" w:cs="Arial"/>
                <w:b/>
                <w:bCs/>
                <w:lang w:val="el-GR" w:eastAsia="en-US"/>
              </w:rPr>
              <w:t>ΕΚΤΟΣ</w:t>
            </w:r>
            <w:r>
              <w:rPr>
                <w:rFonts w:ascii="Verdana" w:hAnsi="Verdana" w:cs="Arial"/>
                <w:b/>
                <w:bCs/>
                <w:color w:val="000000"/>
                <w:lang w:val="el-GR" w:eastAsia="en-US"/>
              </w:rPr>
              <w:t xml:space="preserve"> Περιφερειακών Ενισχύσεων </w:t>
            </w:r>
            <w:r>
              <w:rPr>
                <w:rFonts w:ascii="Verdana" w:hAnsi="Verdana" w:cs="Arial"/>
                <w:b/>
                <w:bCs/>
                <w:lang w:val="el-GR" w:eastAsia="en-US"/>
              </w:rPr>
              <w:t>(Άρθρο 7)</w:t>
            </w:r>
          </w:p>
        </w:tc>
      </w:tr>
      <w:tr w:rsidR="00AB0E24" w:rsidTr="00D451E9">
        <w:trPr>
          <w:trHeight w:val="567"/>
        </w:trPr>
        <w:tc>
          <w:tcPr>
            <w:tcW w:w="441" w:type="dxa"/>
            <w:tcBorders>
              <w:top w:val="nil"/>
              <w:left w:val="single" w:sz="4" w:space="0" w:color="auto"/>
              <w:bottom w:val="single" w:sz="4" w:space="0" w:color="auto"/>
              <w:right w:val="single" w:sz="4" w:space="0" w:color="auto"/>
            </w:tcBorders>
            <w:vAlign w:val="center"/>
            <w:hideMark/>
          </w:tcPr>
          <w:p w:rsidR="00AB0E24" w:rsidRDefault="00AB0E24">
            <w:pPr>
              <w:spacing w:before="60" w:after="60" w:line="276" w:lineRule="auto"/>
              <w:ind w:right="731"/>
              <w:jc w:val="center"/>
              <w:rPr>
                <w:rFonts w:ascii="Verdana" w:hAnsi="Verdana" w:cs="Arial"/>
                <w:color w:val="000000"/>
                <w:lang w:eastAsia="en-US"/>
              </w:rPr>
            </w:pPr>
            <w:r>
              <w:rPr>
                <w:rFonts w:ascii="Verdana" w:hAnsi="Verdana" w:cs="Arial"/>
                <w:color w:val="000000"/>
                <w:lang w:eastAsia="en-US"/>
              </w:rPr>
              <w:t>1</w:t>
            </w:r>
          </w:p>
        </w:tc>
        <w:tc>
          <w:tcPr>
            <w:tcW w:w="9355" w:type="dxa"/>
            <w:tcBorders>
              <w:top w:val="nil"/>
              <w:left w:val="nil"/>
              <w:bottom w:val="single" w:sz="4" w:space="0" w:color="auto"/>
              <w:right w:val="single" w:sz="4" w:space="0" w:color="auto"/>
            </w:tcBorders>
            <w:vAlign w:val="center"/>
            <w:hideMark/>
          </w:tcPr>
          <w:p w:rsidR="00AB0E24" w:rsidRDefault="00AB0E24">
            <w:pPr>
              <w:spacing w:before="60" w:after="60" w:line="276" w:lineRule="auto"/>
              <w:ind w:right="731"/>
              <w:rPr>
                <w:rFonts w:ascii="Verdana" w:hAnsi="Verdana" w:cs="Arial"/>
                <w:color w:val="000000"/>
                <w:lang w:val="el-GR" w:eastAsia="en-US"/>
              </w:rPr>
            </w:pPr>
            <w:r>
              <w:rPr>
                <w:rFonts w:ascii="Verdana" w:hAnsi="Verdana" w:cs="Arial"/>
                <w:color w:val="000000"/>
                <w:lang w:val="el-GR" w:eastAsia="en-US"/>
              </w:rPr>
              <w:t>ΔΑΠΑΝΕΣ ΓΙΑ ΣΥΜΒΟΥΛΕΥΤΙΚΕΣ ΥΠΗΡΕΣΙΕΣ (Συμβατική)</w:t>
            </w:r>
          </w:p>
          <w:p w:rsidR="00AB0E24" w:rsidRDefault="00AB0E24">
            <w:pPr>
              <w:spacing w:before="60" w:after="60" w:line="276" w:lineRule="auto"/>
              <w:ind w:right="731"/>
              <w:rPr>
                <w:rFonts w:ascii="Verdana" w:hAnsi="Verdana" w:cs="Arial"/>
                <w:color w:val="000000"/>
                <w:lang w:eastAsia="en-US"/>
              </w:rPr>
            </w:pPr>
            <w:r>
              <w:rPr>
                <w:rFonts w:ascii="Verdana" w:hAnsi="Verdana" w:cs="Arial"/>
                <w:color w:val="000000" w:themeColor="text1"/>
                <w:lang w:eastAsia="en-US"/>
              </w:rPr>
              <w:t>(</w:t>
            </w:r>
            <w:proofErr w:type="spellStart"/>
            <w:r>
              <w:rPr>
                <w:rFonts w:ascii="Verdana" w:hAnsi="Verdana" w:cs="Arial"/>
                <w:color w:val="000000" w:themeColor="text1"/>
                <w:lang w:eastAsia="en-US"/>
              </w:rPr>
              <w:t>μόνο</w:t>
            </w:r>
            <w:proofErr w:type="spellEnd"/>
            <w:r>
              <w:rPr>
                <w:rFonts w:ascii="Verdana" w:hAnsi="Verdana" w:cs="Arial"/>
                <w:color w:val="000000" w:themeColor="text1"/>
                <w:lang w:eastAsia="en-US"/>
              </w:rPr>
              <w:t xml:space="preserve"> </w:t>
            </w:r>
            <w:proofErr w:type="spellStart"/>
            <w:r>
              <w:rPr>
                <w:rFonts w:ascii="Verdana" w:hAnsi="Verdana" w:cs="Arial"/>
                <w:color w:val="000000" w:themeColor="text1"/>
                <w:lang w:eastAsia="en-US"/>
              </w:rPr>
              <w:t>γι</w:t>
            </w:r>
            <w:proofErr w:type="spellEnd"/>
            <w:r>
              <w:rPr>
                <w:rFonts w:ascii="Verdana" w:hAnsi="Verdana" w:cs="Arial"/>
                <w:color w:val="000000" w:themeColor="text1"/>
                <w:lang w:eastAsia="en-US"/>
              </w:rPr>
              <w:t xml:space="preserve">α </w:t>
            </w:r>
            <w:proofErr w:type="spellStart"/>
            <w:r>
              <w:rPr>
                <w:rFonts w:ascii="Verdana" w:hAnsi="Verdana" w:cs="Arial"/>
                <w:color w:val="000000" w:themeColor="text1"/>
                <w:lang w:eastAsia="en-US"/>
              </w:rPr>
              <w:t>Νέες</w:t>
            </w:r>
            <w:proofErr w:type="spellEnd"/>
            <w:r>
              <w:rPr>
                <w:rFonts w:ascii="Verdana" w:hAnsi="Verdana" w:cs="Arial"/>
                <w:color w:val="000000" w:themeColor="text1"/>
                <w:lang w:eastAsia="en-US"/>
              </w:rPr>
              <w:t xml:space="preserve"> ΜΜΕ) </w:t>
            </w:r>
          </w:p>
        </w:tc>
      </w:tr>
      <w:tr w:rsidR="00AB0E24" w:rsidRPr="000F0602" w:rsidTr="00D451E9">
        <w:trPr>
          <w:trHeight w:val="420"/>
        </w:trPr>
        <w:tc>
          <w:tcPr>
            <w:tcW w:w="441" w:type="dxa"/>
            <w:tcBorders>
              <w:top w:val="single" w:sz="4" w:space="0" w:color="auto"/>
              <w:left w:val="single" w:sz="4" w:space="0" w:color="auto"/>
              <w:bottom w:val="single" w:sz="4" w:space="0" w:color="auto"/>
              <w:right w:val="single" w:sz="4" w:space="0" w:color="auto"/>
            </w:tcBorders>
            <w:vAlign w:val="center"/>
            <w:hideMark/>
          </w:tcPr>
          <w:p w:rsidR="00AB0E24" w:rsidRPr="00AB0E24" w:rsidRDefault="00AB0E24">
            <w:pPr>
              <w:spacing w:before="60" w:after="60" w:line="276" w:lineRule="auto"/>
              <w:ind w:right="731"/>
              <w:jc w:val="center"/>
              <w:rPr>
                <w:rFonts w:ascii="Verdana" w:hAnsi="Verdana" w:cs="Arial"/>
                <w:color w:val="000000"/>
                <w:lang w:eastAsia="en-US"/>
              </w:rPr>
            </w:pPr>
            <w:r>
              <w:rPr>
                <w:rFonts w:ascii="Verdana" w:hAnsi="Verdana" w:cs="Arial"/>
                <w:color w:val="000000"/>
                <w:lang w:eastAsia="en-US"/>
              </w:rPr>
              <w:t>2</w:t>
            </w:r>
          </w:p>
        </w:tc>
        <w:tc>
          <w:tcPr>
            <w:tcW w:w="9355" w:type="dxa"/>
            <w:tcBorders>
              <w:top w:val="single" w:sz="4" w:space="0" w:color="auto"/>
              <w:left w:val="nil"/>
              <w:bottom w:val="single" w:sz="4" w:space="0" w:color="auto"/>
              <w:right w:val="single" w:sz="4" w:space="0" w:color="auto"/>
            </w:tcBorders>
            <w:vAlign w:val="center"/>
            <w:hideMark/>
          </w:tcPr>
          <w:p w:rsidR="00AB0E24" w:rsidRPr="00AB0E24" w:rsidRDefault="00AB0E24">
            <w:pPr>
              <w:spacing w:before="60" w:after="60" w:line="276" w:lineRule="auto"/>
              <w:ind w:right="731"/>
              <w:rPr>
                <w:rFonts w:ascii="Verdana" w:eastAsia="SimSun" w:hAnsi="Verdana" w:cstheme="minorHAnsi"/>
                <w:bCs/>
                <w:caps/>
                <w:color w:val="000000" w:themeColor="text1"/>
                <w:lang w:val="el-GR" w:eastAsia="en-US"/>
              </w:rPr>
            </w:pPr>
            <w:r w:rsidRPr="00AB0E24">
              <w:rPr>
                <w:rFonts w:ascii="Verdana" w:hAnsi="Verdana" w:cstheme="minorHAnsi"/>
                <w:lang w:val="el-GR"/>
              </w:rPr>
              <w:t>ΔΑΠΑΝΕΣ ΓΙΑ ΜΕΤΡΑ ΕΝΕΡΓΕΙΑΚΗΣ ΑΠΟΔΟΣΗΣ (ΕΚΤΟΣ ΑΠΟ ΜΕΤΡΑ ΕΝΕΡΓΕΙΑΚΗΣ ΑΠΟΔΟΣΗΣ ΣΕ ΚΤΙΡΙΑ)</w:t>
            </w:r>
          </w:p>
        </w:tc>
      </w:tr>
      <w:tr w:rsidR="00AB0E24" w:rsidRPr="000F0602" w:rsidTr="00D451E9">
        <w:trPr>
          <w:trHeight w:val="420"/>
        </w:trPr>
        <w:tc>
          <w:tcPr>
            <w:tcW w:w="441" w:type="dxa"/>
            <w:tcBorders>
              <w:top w:val="single" w:sz="4" w:space="0" w:color="auto"/>
              <w:left w:val="single" w:sz="4" w:space="0" w:color="auto"/>
              <w:bottom w:val="single" w:sz="4" w:space="0" w:color="auto"/>
              <w:right w:val="single" w:sz="4" w:space="0" w:color="auto"/>
            </w:tcBorders>
            <w:vAlign w:val="center"/>
            <w:hideMark/>
          </w:tcPr>
          <w:p w:rsidR="00AB0E24" w:rsidRPr="00AB0E24" w:rsidRDefault="00AB0E24">
            <w:pPr>
              <w:spacing w:before="60" w:after="60" w:line="276" w:lineRule="auto"/>
              <w:ind w:right="731"/>
              <w:jc w:val="center"/>
              <w:rPr>
                <w:rFonts w:ascii="Verdana" w:hAnsi="Verdana" w:cs="Arial"/>
                <w:color w:val="000000"/>
                <w:lang w:eastAsia="en-US"/>
              </w:rPr>
            </w:pPr>
            <w:r>
              <w:rPr>
                <w:rFonts w:ascii="Verdana" w:hAnsi="Verdana" w:cs="Arial"/>
                <w:color w:val="000000"/>
                <w:lang w:eastAsia="en-US"/>
              </w:rPr>
              <w:t>3</w:t>
            </w:r>
          </w:p>
        </w:tc>
        <w:tc>
          <w:tcPr>
            <w:tcW w:w="9355" w:type="dxa"/>
            <w:tcBorders>
              <w:top w:val="single" w:sz="4" w:space="0" w:color="auto"/>
              <w:left w:val="nil"/>
              <w:bottom w:val="single" w:sz="4" w:space="0" w:color="auto"/>
              <w:right w:val="single" w:sz="4" w:space="0" w:color="auto"/>
            </w:tcBorders>
            <w:vAlign w:val="center"/>
            <w:hideMark/>
          </w:tcPr>
          <w:p w:rsidR="00AB0E24" w:rsidRDefault="00AB0E24">
            <w:pPr>
              <w:spacing w:before="60" w:after="60" w:line="276" w:lineRule="auto"/>
              <w:ind w:right="731"/>
              <w:rPr>
                <w:rFonts w:ascii="Verdana" w:eastAsia="SimSun" w:hAnsi="Verdana" w:cstheme="minorHAnsi"/>
                <w:bCs/>
                <w:caps/>
                <w:color w:val="000000" w:themeColor="text1"/>
                <w:lang w:val="el-GR" w:eastAsia="en-US"/>
              </w:rPr>
            </w:pPr>
            <w:r w:rsidRPr="00AB0E24">
              <w:rPr>
                <w:rFonts w:ascii="Verdana" w:hAnsi="Verdana" w:cstheme="minorHAnsi"/>
                <w:lang w:val="el-GR"/>
              </w:rPr>
              <w:t>ΔΑΠΑΝΕΣ ΓΙΑ ΕΓΚΑΤΑΣΤΑΣΗ ΑΠΟΔΟΤΙΚΩΝ ΣΥΣΤΗΜΑΤΩΝ ΤΗΛΕΘΕΡΜΑΝΣΗΣ ΚΑΙ/Η ΤΗΛΕΨΥΞΗΣ</w:t>
            </w:r>
          </w:p>
        </w:tc>
      </w:tr>
      <w:tr w:rsidR="00AB0E24" w:rsidRPr="000F0602" w:rsidTr="00D451E9">
        <w:trPr>
          <w:trHeight w:val="420"/>
        </w:trPr>
        <w:tc>
          <w:tcPr>
            <w:tcW w:w="441" w:type="dxa"/>
            <w:tcBorders>
              <w:top w:val="single" w:sz="4" w:space="0" w:color="auto"/>
              <w:left w:val="single" w:sz="4" w:space="0" w:color="auto"/>
              <w:bottom w:val="single" w:sz="4" w:space="0" w:color="auto"/>
              <w:right w:val="single" w:sz="4" w:space="0" w:color="auto"/>
            </w:tcBorders>
            <w:vAlign w:val="center"/>
            <w:hideMark/>
          </w:tcPr>
          <w:p w:rsidR="00AB0E24" w:rsidRPr="0067290E" w:rsidRDefault="0067290E">
            <w:pPr>
              <w:spacing w:before="60" w:after="60" w:line="276" w:lineRule="auto"/>
              <w:ind w:right="731"/>
              <w:jc w:val="center"/>
              <w:rPr>
                <w:rFonts w:ascii="Verdana" w:hAnsi="Verdana" w:cs="Arial"/>
                <w:color w:val="000000"/>
                <w:lang w:val="el-GR" w:eastAsia="en-US"/>
              </w:rPr>
            </w:pPr>
            <w:r>
              <w:rPr>
                <w:rFonts w:ascii="Verdana" w:hAnsi="Verdana" w:cs="Arial"/>
                <w:color w:val="000000"/>
                <w:lang w:val="el-GR" w:eastAsia="en-US"/>
              </w:rPr>
              <w:t>4</w:t>
            </w:r>
          </w:p>
        </w:tc>
        <w:tc>
          <w:tcPr>
            <w:tcW w:w="9355" w:type="dxa"/>
            <w:tcBorders>
              <w:top w:val="single" w:sz="4" w:space="0" w:color="auto"/>
              <w:left w:val="nil"/>
              <w:bottom w:val="single" w:sz="4" w:space="0" w:color="auto"/>
              <w:right w:val="single" w:sz="4" w:space="0" w:color="auto"/>
            </w:tcBorders>
            <w:vAlign w:val="center"/>
            <w:hideMark/>
          </w:tcPr>
          <w:p w:rsidR="00AB0E24" w:rsidRDefault="00AB0E24">
            <w:pPr>
              <w:spacing w:before="60" w:after="60" w:line="276" w:lineRule="auto"/>
              <w:ind w:right="731"/>
              <w:rPr>
                <w:rFonts w:ascii="Verdana" w:hAnsi="Verdana" w:cs="Arial"/>
                <w:caps/>
                <w:color w:val="000000"/>
                <w:lang w:val="el-GR" w:eastAsia="en-US"/>
              </w:rPr>
            </w:pPr>
            <w:r>
              <w:rPr>
                <w:rFonts w:ascii="Verdana" w:eastAsia="SimSun" w:hAnsi="Verdana" w:cstheme="minorHAnsi"/>
                <w:bCs/>
                <w:color w:val="000000" w:themeColor="text1"/>
                <w:lang w:val="el-GR" w:eastAsia="en-US"/>
              </w:rPr>
              <w:t>ΔΑΠΑΝΕΣ ΓΙΑ ΣΥΜΜΕΤΟΧΗ ΜΜΕ ΣΕ ΕΜΠΟΡΙΚΕΣ ΕΚΘΕΣΕΙΣ</w:t>
            </w:r>
          </w:p>
        </w:tc>
      </w:tr>
      <w:tr w:rsidR="00AB0E24" w:rsidRPr="000F0602" w:rsidTr="00D451E9">
        <w:trPr>
          <w:trHeight w:val="420"/>
        </w:trPr>
        <w:tc>
          <w:tcPr>
            <w:tcW w:w="441" w:type="dxa"/>
            <w:tcBorders>
              <w:top w:val="single" w:sz="4" w:space="0" w:color="auto"/>
              <w:left w:val="single" w:sz="4" w:space="0" w:color="auto"/>
              <w:bottom w:val="single" w:sz="4" w:space="0" w:color="auto"/>
              <w:right w:val="single" w:sz="4" w:space="0" w:color="auto"/>
            </w:tcBorders>
            <w:vAlign w:val="center"/>
            <w:hideMark/>
          </w:tcPr>
          <w:p w:rsidR="00AB0E24" w:rsidRPr="0067290E" w:rsidRDefault="0067290E">
            <w:pPr>
              <w:spacing w:before="60" w:after="60" w:line="276" w:lineRule="auto"/>
              <w:ind w:right="731"/>
              <w:jc w:val="center"/>
              <w:rPr>
                <w:rFonts w:ascii="Verdana" w:hAnsi="Verdana" w:cs="Arial"/>
                <w:color w:val="000000"/>
                <w:lang w:val="el-GR" w:eastAsia="en-US"/>
              </w:rPr>
            </w:pPr>
            <w:r>
              <w:rPr>
                <w:rFonts w:ascii="Verdana" w:hAnsi="Verdana" w:cs="Arial"/>
                <w:color w:val="000000"/>
                <w:lang w:val="el-GR" w:eastAsia="en-US"/>
              </w:rPr>
              <w:t>5</w:t>
            </w:r>
          </w:p>
        </w:tc>
        <w:tc>
          <w:tcPr>
            <w:tcW w:w="9355" w:type="dxa"/>
            <w:tcBorders>
              <w:top w:val="single" w:sz="4" w:space="0" w:color="auto"/>
              <w:left w:val="nil"/>
              <w:bottom w:val="single" w:sz="4" w:space="0" w:color="auto"/>
              <w:right w:val="single" w:sz="4" w:space="0" w:color="auto"/>
            </w:tcBorders>
            <w:vAlign w:val="center"/>
            <w:hideMark/>
          </w:tcPr>
          <w:p w:rsidR="00AB0E24" w:rsidRDefault="00AB0E24">
            <w:pPr>
              <w:spacing w:before="60" w:after="60" w:line="276" w:lineRule="auto"/>
              <w:ind w:right="731"/>
              <w:rPr>
                <w:rFonts w:ascii="Verdana" w:hAnsi="Verdana" w:cs="Arial"/>
                <w:caps/>
                <w:color w:val="000000"/>
                <w:lang w:val="el-GR" w:eastAsia="en-US"/>
              </w:rPr>
            </w:pPr>
            <w:r>
              <w:rPr>
                <w:rFonts w:ascii="Verdana" w:hAnsi="Verdana" w:cstheme="minorHAnsi"/>
                <w:caps/>
                <w:lang w:val="el-GR" w:eastAsia="en-US"/>
              </w:rPr>
              <w:t>Δαπάνες για επενδυτικές ενισχύσεις προς ΜΜΕ</w:t>
            </w:r>
          </w:p>
        </w:tc>
      </w:tr>
    </w:tbl>
    <w:p w:rsidR="00AB0E24" w:rsidRDefault="00AB0E24" w:rsidP="00AB0E24">
      <w:pPr>
        <w:autoSpaceDE w:val="0"/>
        <w:autoSpaceDN w:val="0"/>
        <w:adjustRightInd w:val="0"/>
        <w:spacing w:before="120"/>
        <w:ind w:right="731"/>
        <w:jc w:val="both"/>
        <w:rPr>
          <w:rFonts w:ascii="Verdana" w:hAnsi="Verdana" w:cs="MyriadPro-Regular"/>
          <w:lang w:val="el-GR"/>
        </w:rPr>
      </w:pP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Στις δαπάνες αυτές παρέχονται άλλες, πλην των περιφερειακών, ενισχύσεις, με τους όρους και τις προϋποθέσεις που τίθενται στο Γ.Α.Κ.. Κάθε ομάδα αναλύεται στις κατηγορίες που παρουσιάζονται παρακάτω:</w:t>
      </w:r>
    </w:p>
    <w:p w:rsidR="00AB0E24" w:rsidRDefault="00AB0E24" w:rsidP="00AB0E24">
      <w:pPr>
        <w:spacing w:line="360" w:lineRule="auto"/>
        <w:jc w:val="both"/>
        <w:rPr>
          <w:rFonts w:ascii="Verdana" w:hAnsi="Verdana" w:cstheme="minorHAnsi"/>
          <w:lang w:val="el-GR"/>
        </w:rPr>
      </w:pPr>
    </w:p>
    <w:p w:rsidR="00AB0E24" w:rsidRDefault="00AB0E24" w:rsidP="00997FEC">
      <w:pPr>
        <w:keepNext/>
        <w:spacing w:line="360" w:lineRule="auto"/>
        <w:jc w:val="both"/>
        <w:rPr>
          <w:rFonts w:ascii="Verdana" w:hAnsi="Verdana" w:cstheme="minorHAnsi"/>
          <w:b/>
          <w:lang w:val="el-GR"/>
        </w:rPr>
      </w:pPr>
      <w:r>
        <w:rPr>
          <w:rFonts w:ascii="Verdana" w:hAnsi="Verdana" w:cs="MyriadPro-Regular"/>
          <w:b/>
          <w:lang w:val="el-GR"/>
        </w:rPr>
        <w:t>1</w:t>
      </w:r>
      <w:r>
        <w:rPr>
          <w:rFonts w:ascii="Verdana" w:hAnsi="Verdana" w:cstheme="minorHAnsi"/>
          <w:b/>
          <w:lang w:val="el-GR"/>
        </w:rPr>
        <w:t xml:space="preserve">. Επενδυτικές δαπάνες για συμβουλευτικές υπηρεσίες σε ΜΜΕ (άρθρο 18 Γ.Α.Κ.) </w:t>
      </w:r>
      <w:r>
        <w:rPr>
          <w:rFonts w:ascii="Verdana" w:hAnsi="Verdana" w:cs="Arial"/>
          <w:b/>
          <w:lang w:val="el-GR"/>
        </w:rPr>
        <w:t>(μόνο για Νέες ΜΜΕ)</w:t>
      </w:r>
      <w:r>
        <w:rPr>
          <w:rFonts w:ascii="Verdana" w:hAnsi="Verdana" w:cstheme="minorHAnsi"/>
          <w:b/>
          <w:lang w:val="el-GR"/>
        </w:rPr>
        <w:t>.</w:t>
      </w:r>
    </w:p>
    <w:p w:rsidR="00AB0E24" w:rsidRDefault="00AB0E24" w:rsidP="00997FEC">
      <w:pPr>
        <w:keepNext/>
        <w:spacing w:line="360" w:lineRule="auto"/>
        <w:jc w:val="both"/>
        <w:rPr>
          <w:rFonts w:ascii="Verdana" w:hAnsi="Verdana" w:cstheme="minorHAnsi"/>
          <w:lang w:val="el-GR"/>
        </w:rPr>
      </w:pPr>
    </w:p>
    <w:p w:rsidR="00AB0E24" w:rsidRPr="00DC21F0" w:rsidRDefault="00AB0E24" w:rsidP="00AB0E24">
      <w:pPr>
        <w:spacing w:line="360" w:lineRule="auto"/>
        <w:jc w:val="both"/>
        <w:rPr>
          <w:rFonts w:ascii="Verdana" w:hAnsi="Verdana" w:cstheme="minorHAnsi"/>
          <w:lang w:val="el-GR"/>
        </w:rPr>
      </w:pPr>
      <w:r>
        <w:rPr>
          <w:rFonts w:ascii="Verdana" w:hAnsi="Verdana" w:cstheme="minorHAnsi"/>
          <w:lang w:val="el-GR"/>
        </w:rPr>
        <w:t>Οι δαπάνες αυτές αφορούν σε μελέτες και αμοιβές συμβούλων για επενδυτικά σχέδια νέων μικρών και μεσαίων επιχειρήσεων και δεν μπορεί να αποτελούν αντικείμενο συνεχούς ή περιοδικής δραστηριότητας, ούτε να συνδέονται με τις συνήθεις λειτουργικές δαπάνες της επιχείρησης όπως τακτικές υπηρεσίες παροχής φορολογικών και νομικών συμβουλών ή διαφημιστικές υπηρεσίες. Ως «</w:t>
      </w:r>
      <w:r w:rsidRPr="00DC21F0">
        <w:rPr>
          <w:rFonts w:ascii="Verdana" w:hAnsi="Verdana" w:cstheme="minorHAnsi"/>
          <w:lang w:val="el-GR"/>
        </w:rPr>
        <w:t xml:space="preserve">νέα ΜΜΕ» </w:t>
      </w:r>
      <w:r w:rsidRPr="00DC21F0">
        <w:rPr>
          <w:rFonts w:ascii="Verdana" w:eastAsia="SimSun" w:hAnsi="Verdana" w:cstheme="minorHAnsi"/>
          <w:bCs/>
          <w:lang w:val="el-GR"/>
        </w:rPr>
        <w:t xml:space="preserve">θεωρείται </w:t>
      </w:r>
      <w:r w:rsidRPr="00DC21F0">
        <w:rPr>
          <w:rFonts w:ascii="Verdana" w:hAnsi="Verdana" w:cstheme="minorHAnsi"/>
          <w:lang w:val="el-GR"/>
        </w:rPr>
        <w:t>η επιχείρηση που δεν έχει κλείσει 12μηνη διαχειριστική χρήση κατά το χρόνο υποβολής της αίτησης υπαγωγής στο καθεστώς.</w:t>
      </w:r>
    </w:p>
    <w:p w:rsidR="00AB0E24" w:rsidRDefault="00AB0E24" w:rsidP="00AB0E24">
      <w:pPr>
        <w:spacing w:line="360" w:lineRule="auto"/>
        <w:jc w:val="both"/>
        <w:rPr>
          <w:rFonts w:ascii="Verdana" w:eastAsia="SimSun" w:hAnsi="Verdana" w:cstheme="minorHAnsi"/>
          <w:bCs/>
          <w:color w:val="000000" w:themeColor="text1"/>
          <w:lang w:val="el-GR"/>
        </w:rPr>
      </w:pPr>
      <w:r w:rsidRPr="00DC21F0">
        <w:rPr>
          <w:rFonts w:ascii="Verdana" w:eastAsia="SimSun" w:hAnsi="Verdana" w:cstheme="minorHAnsi"/>
          <w:bCs/>
          <w:lang w:val="el-GR"/>
        </w:rPr>
        <w:t xml:space="preserve">Οι δαπάνες αυτές ορίζονται στην παράγραφο 1 του Παραρτήματος Β του νόμου 4887/2022 και στο άρθρο 18 του Γ.Α.Κ. και </w:t>
      </w:r>
      <w:r w:rsidRPr="00DC21F0">
        <w:rPr>
          <w:rFonts w:ascii="Verdana" w:hAnsi="Verdana" w:cstheme="minorHAnsi"/>
          <w:lang w:val="el-GR"/>
        </w:rPr>
        <w:t xml:space="preserve">αφορούν σε μελέτες και αμοιβές συμβούλων για επενδυτικά σχέδια </w:t>
      </w:r>
      <w:r w:rsidRPr="00DC21F0">
        <w:rPr>
          <w:rFonts w:ascii="Verdana" w:hAnsi="Verdana" w:cstheme="minorHAnsi"/>
          <w:lang w:val="el-GR"/>
        </w:rPr>
        <w:lastRenderedPageBreak/>
        <w:t>νέων μικρών και μεσαίων επιχειρήσεων</w:t>
      </w:r>
      <w:r>
        <w:rPr>
          <w:rFonts w:ascii="Verdana" w:hAnsi="Verdana" w:cstheme="minorHAnsi"/>
          <w:lang w:val="el-GR"/>
        </w:rPr>
        <w:t xml:space="preserve"> και δεν μπορεί να αποτελούν αντικείμενο </w:t>
      </w:r>
      <w:r>
        <w:rPr>
          <w:rFonts w:ascii="Verdana" w:eastAsia="SimSun" w:hAnsi="Verdana" w:cstheme="minorHAnsi"/>
          <w:bCs/>
          <w:color w:val="000000" w:themeColor="text1"/>
          <w:lang w:val="el-GR"/>
        </w:rPr>
        <w:t xml:space="preserve">συνεχούς ή περιοδικής δραστηριότητας, ούτε να συνδέονται με τις συνήθεις λειτουργικές δαπάνες της επιχείρησης. </w:t>
      </w:r>
    </w:p>
    <w:p w:rsidR="00AB0E24" w:rsidRDefault="00AB0E24" w:rsidP="00AB0E24">
      <w:pPr>
        <w:spacing w:line="360" w:lineRule="auto"/>
        <w:jc w:val="both"/>
        <w:rPr>
          <w:rFonts w:ascii="Verdana" w:eastAsia="SimSun" w:hAnsi="Verdana" w:cstheme="minorHAnsi"/>
          <w:bCs/>
          <w:color w:val="000000" w:themeColor="text1"/>
          <w:lang w:val="el-GR"/>
        </w:rPr>
      </w:pPr>
      <w:r>
        <w:rPr>
          <w:rFonts w:ascii="Verdana" w:eastAsia="SimSun" w:hAnsi="Verdana" w:cstheme="minorHAnsi"/>
          <w:bCs/>
          <w:color w:val="000000" w:themeColor="text1"/>
          <w:lang w:val="el-GR"/>
        </w:rPr>
        <w:t>Περιλαμβάνονται οι δαπάνες για:</w:t>
      </w:r>
    </w:p>
    <w:p w:rsidR="00AB0E24" w:rsidRDefault="00AB0E24" w:rsidP="00AB0E24">
      <w:pPr>
        <w:pStyle w:val="a4"/>
        <w:numPr>
          <w:ilvl w:val="0"/>
          <w:numId w:val="1"/>
        </w:numPr>
        <w:spacing w:line="360" w:lineRule="auto"/>
        <w:jc w:val="both"/>
        <w:rPr>
          <w:rFonts w:ascii="Verdana" w:eastAsia="SimSun" w:hAnsi="Verdana" w:cstheme="minorHAnsi"/>
          <w:bCs/>
          <w:color w:val="000000" w:themeColor="text1"/>
          <w:sz w:val="20"/>
          <w:szCs w:val="20"/>
          <w:lang w:val="el-GR" w:eastAsia="el-GR"/>
        </w:rPr>
      </w:pPr>
      <w:r>
        <w:rPr>
          <w:rFonts w:ascii="Verdana" w:eastAsia="SimSun" w:hAnsi="Verdana" w:cstheme="minorHAnsi"/>
          <w:bCs/>
          <w:color w:val="000000" w:themeColor="text1"/>
          <w:sz w:val="20"/>
          <w:szCs w:val="20"/>
          <w:lang w:val="el-GR" w:eastAsia="el-GR"/>
        </w:rPr>
        <w:t>Αμοιβές προς τρίτους  για την  παρακολούθηση της υλοποίησης του επενδυτικού σχεδίου</w:t>
      </w:r>
    </w:p>
    <w:p w:rsidR="00AB0E24" w:rsidRDefault="00AB0E24" w:rsidP="00AB0E24">
      <w:pPr>
        <w:pStyle w:val="a4"/>
        <w:numPr>
          <w:ilvl w:val="0"/>
          <w:numId w:val="1"/>
        </w:numPr>
        <w:spacing w:line="360" w:lineRule="auto"/>
        <w:jc w:val="both"/>
        <w:rPr>
          <w:rFonts w:ascii="Verdana" w:eastAsia="SimSun" w:hAnsi="Verdana" w:cstheme="minorHAnsi"/>
          <w:bCs/>
          <w:color w:val="000000" w:themeColor="text1"/>
          <w:sz w:val="20"/>
          <w:szCs w:val="20"/>
          <w:lang w:val="el-GR" w:eastAsia="el-GR"/>
        </w:rPr>
      </w:pPr>
      <w:r>
        <w:rPr>
          <w:rFonts w:ascii="Verdana" w:eastAsia="SimSun" w:hAnsi="Verdana" w:cstheme="minorHAnsi"/>
          <w:bCs/>
          <w:color w:val="000000" w:themeColor="text1"/>
          <w:sz w:val="20"/>
          <w:szCs w:val="20"/>
          <w:lang w:val="el-GR" w:eastAsia="el-GR"/>
        </w:rPr>
        <w:t xml:space="preserve">Αμοιβές συμβούλου για την υποστήριξη σε θέματα Δημοσίου (π.χ. Αμοιβές συμβούλων για την υποστήριξη στις απαιτούμενες </w:t>
      </w:r>
      <w:proofErr w:type="spellStart"/>
      <w:r>
        <w:rPr>
          <w:rFonts w:ascii="Verdana" w:eastAsia="SimSun" w:hAnsi="Verdana" w:cstheme="minorHAnsi"/>
          <w:bCs/>
          <w:color w:val="000000" w:themeColor="text1"/>
          <w:sz w:val="20"/>
          <w:szCs w:val="20"/>
          <w:lang w:val="el-GR" w:eastAsia="el-GR"/>
        </w:rPr>
        <w:t>αδειοδοτήσεις</w:t>
      </w:r>
      <w:proofErr w:type="spellEnd"/>
      <w:r>
        <w:rPr>
          <w:rFonts w:ascii="Verdana" w:eastAsia="SimSun" w:hAnsi="Verdana" w:cstheme="minorHAnsi"/>
          <w:bCs/>
          <w:color w:val="000000" w:themeColor="text1"/>
          <w:sz w:val="20"/>
          <w:szCs w:val="20"/>
          <w:lang w:val="el-GR" w:eastAsia="el-GR"/>
        </w:rPr>
        <w:t>)</w:t>
      </w:r>
    </w:p>
    <w:p w:rsidR="00AB0E24" w:rsidRDefault="00AB0E24" w:rsidP="00AB0E24">
      <w:pPr>
        <w:pStyle w:val="a4"/>
        <w:numPr>
          <w:ilvl w:val="0"/>
          <w:numId w:val="1"/>
        </w:numPr>
        <w:spacing w:line="360" w:lineRule="auto"/>
        <w:jc w:val="both"/>
        <w:rPr>
          <w:rFonts w:ascii="Verdana" w:eastAsia="SimSun" w:hAnsi="Verdana" w:cstheme="minorHAnsi"/>
          <w:bCs/>
          <w:color w:val="000000" w:themeColor="text1"/>
          <w:sz w:val="20"/>
          <w:szCs w:val="20"/>
          <w:lang w:val="el-GR" w:eastAsia="el-GR"/>
        </w:rPr>
      </w:pPr>
      <w:r>
        <w:rPr>
          <w:rFonts w:ascii="Verdana" w:eastAsia="SimSun" w:hAnsi="Verdana" w:cstheme="minorHAnsi"/>
          <w:bCs/>
          <w:color w:val="000000" w:themeColor="text1"/>
          <w:sz w:val="20"/>
          <w:szCs w:val="20"/>
          <w:lang w:val="el-GR" w:eastAsia="el-GR"/>
        </w:rPr>
        <w:t>Αμοιβές συμβούλου για την υποστήριξη σε θέματα χρηματοδότησης του επενδυτικού σχεδίου (π.χ. Αμοιβές συμβούλων για την υποστήριξη στη λήψη του δανείου)</w:t>
      </w:r>
    </w:p>
    <w:p w:rsidR="00AB0E24" w:rsidRDefault="00AB0E24" w:rsidP="00AB0E24">
      <w:pPr>
        <w:pStyle w:val="a4"/>
        <w:numPr>
          <w:ilvl w:val="0"/>
          <w:numId w:val="1"/>
        </w:numPr>
        <w:spacing w:line="360" w:lineRule="auto"/>
        <w:jc w:val="both"/>
        <w:rPr>
          <w:rFonts w:ascii="Verdana" w:eastAsia="SimSun" w:hAnsi="Verdana" w:cstheme="minorHAnsi"/>
          <w:bCs/>
          <w:color w:val="000000" w:themeColor="text1"/>
          <w:sz w:val="20"/>
          <w:szCs w:val="20"/>
          <w:lang w:val="el-GR" w:eastAsia="el-GR"/>
        </w:rPr>
      </w:pPr>
      <w:r>
        <w:rPr>
          <w:rFonts w:ascii="Verdana" w:eastAsia="SimSun" w:hAnsi="Verdana" w:cstheme="minorHAnsi"/>
          <w:bCs/>
          <w:color w:val="000000" w:themeColor="text1"/>
          <w:sz w:val="20"/>
          <w:szCs w:val="20"/>
          <w:lang w:val="el-GR" w:eastAsia="el-GR"/>
        </w:rPr>
        <w:t xml:space="preserve">Δαπάνες συμβουλευτικών υπηρεσιών για την οργάνωση της επιχείρησης, την αναδιοργάνωση των επιμέρους λειτουργιών της επιχείρησης, τον ανασχεδιασμό των επιχειρηματικών διαδικασιών και την τυποποίηση των διαδικασιών, και συγκριτικών μελετών επιδόσεων. Οι ανωτέρω μελέτες θα πρέπει να συναρτώνται άμεσα και να εξυπηρετούν την υλοποίηση του επενδυτικού σχεδίου  </w:t>
      </w:r>
    </w:p>
    <w:p w:rsidR="00AB0E24" w:rsidRDefault="00AB0E24" w:rsidP="00AB0E24">
      <w:pPr>
        <w:pStyle w:val="a4"/>
        <w:numPr>
          <w:ilvl w:val="0"/>
          <w:numId w:val="1"/>
        </w:numPr>
        <w:spacing w:line="360" w:lineRule="auto"/>
        <w:jc w:val="both"/>
        <w:rPr>
          <w:rFonts w:ascii="Verdana" w:eastAsia="SimSun" w:hAnsi="Verdana" w:cstheme="minorHAnsi"/>
          <w:bCs/>
          <w:color w:val="000000" w:themeColor="text1"/>
          <w:sz w:val="20"/>
          <w:szCs w:val="20"/>
          <w:lang w:val="el-GR" w:eastAsia="el-GR"/>
        </w:rPr>
      </w:pPr>
      <w:r>
        <w:rPr>
          <w:rFonts w:ascii="Verdana" w:eastAsia="SimSun" w:hAnsi="Verdana" w:cstheme="minorHAnsi"/>
          <w:bCs/>
          <w:color w:val="000000" w:themeColor="text1"/>
          <w:sz w:val="20"/>
          <w:szCs w:val="20"/>
          <w:lang w:val="el-GR" w:eastAsia="el-GR"/>
        </w:rPr>
        <w:t>Δαπάνες μελετών αγοράς (Δαπάνες για την έρευνα της αγοράς και την εκπόνηση μελετών προώθησης προϊόντων ή υπηρεσιών που συναρτώνται άμεσα με το επενδυτικό σχέδιο)</w:t>
      </w:r>
    </w:p>
    <w:p w:rsidR="00AB0E24" w:rsidRDefault="00AB0E24" w:rsidP="00AB0E24">
      <w:pPr>
        <w:spacing w:line="360" w:lineRule="auto"/>
        <w:jc w:val="both"/>
        <w:rPr>
          <w:rFonts w:ascii="Verdana" w:hAnsi="Verdana" w:cstheme="minorHAnsi"/>
          <w:lang w:val="el-GR"/>
        </w:rPr>
      </w:pPr>
      <w:r>
        <w:rPr>
          <w:rFonts w:ascii="Verdana" w:hAnsi="Verdana" w:cstheme="minorHAnsi"/>
          <w:color w:val="000000" w:themeColor="text1"/>
          <w:lang w:val="el-GR"/>
        </w:rPr>
        <w:t xml:space="preserve">Η ένταση </w:t>
      </w:r>
      <w:r>
        <w:rPr>
          <w:rFonts w:ascii="Verdana" w:hAnsi="Verdana" w:cstheme="minorHAnsi"/>
          <w:lang w:val="el-GR"/>
        </w:rPr>
        <w:t xml:space="preserve">ορίζεται σε ποσοστό πενήντα τοις εκατό (50%) αυτών και οι δαπάνες αυτές ενισχύονται μέχρι ποσοστού πέντε τοις </w:t>
      </w:r>
      <w:r w:rsidRPr="00DC21F0">
        <w:rPr>
          <w:rFonts w:ascii="Verdana" w:hAnsi="Verdana" w:cstheme="minorHAnsi"/>
          <w:lang w:val="el-GR"/>
        </w:rPr>
        <w:t xml:space="preserve">εκατό (5%) επί του συνολικού ενισχυόμενου κόστους περιφερειακών ενισχύσεων και έως του ποσού των </w:t>
      </w:r>
      <w:r w:rsidR="0067290E">
        <w:rPr>
          <w:rFonts w:ascii="Verdana" w:hAnsi="Verdana" w:cstheme="minorHAnsi"/>
          <w:lang w:val="el-GR"/>
        </w:rPr>
        <w:t>πενήντα</w:t>
      </w:r>
      <w:r w:rsidRPr="00DC21F0">
        <w:rPr>
          <w:rFonts w:ascii="Verdana" w:hAnsi="Verdana" w:cstheme="minorHAnsi"/>
          <w:lang w:val="el-GR"/>
        </w:rPr>
        <w:t xml:space="preserve"> χιλιάδων (</w:t>
      </w:r>
      <w:r w:rsidR="0067290E">
        <w:rPr>
          <w:rFonts w:ascii="Verdana" w:hAnsi="Verdana" w:cstheme="minorHAnsi"/>
          <w:lang w:val="el-GR"/>
        </w:rPr>
        <w:t>5</w:t>
      </w:r>
      <w:r w:rsidR="002E16FE" w:rsidRPr="00DC21F0">
        <w:rPr>
          <w:rFonts w:ascii="Verdana" w:hAnsi="Verdana" w:cstheme="minorHAnsi"/>
          <w:lang w:val="el-GR"/>
        </w:rPr>
        <w:t>0</w:t>
      </w:r>
      <w:r w:rsidRPr="00DC21F0">
        <w:rPr>
          <w:rFonts w:ascii="Verdana" w:hAnsi="Verdana" w:cstheme="minorHAnsi"/>
          <w:lang w:val="el-GR"/>
        </w:rPr>
        <w:t>.000) ευρώ.</w:t>
      </w:r>
    </w:p>
    <w:p w:rsidR="002029EA" w:rsidRDefault="002029EA" w:rsidP="00AB0E24">
      <w:pPr>
        <w:spacing w:line="360" w:lineRule="auto"/>
        <w:jc w:val="both"/>
        <w:rPr>
          <w:rFonts w:ascii="Verdana" w:hAnsi="Verdana" w:cstheme="minorHAnsi"/>
          <w:lang w:val="el-GR"/>
        </w:rPr>
      </w:pPr>
    </w:p>
    <w:p w:rsidR="002029EA" w:rsidRDefault="002029EA" w:rsidP="00AB0E24">
      <w:pPr>
        <w:spacing w:line="360" w:lineRule="auto"/>
        <w:jc w:val="both"/>
        <w:rPr>
          <w:rFonts w:ascii="Verdana" w:hAnsi="Verdana" w:cstheme="minorHAnsi"/>
          <w:lang w:val="el-GR"/>
        </w:rPr>
      </w:pPr>
    </w:p>
    <w:p w:rsidR="00AB0E24" w:rsidRDefault="002E16FE" w:rsidP="00997FEC">
      <w:pPr>
        <w:keepNext/>
        <w:spacing w:line="360" w:lineRule="auto"/>
        <w:jc w:val="both"/>
        <w:rPr>
          <w:rFonts w:ascii="Verdana" w:hAnsi="Verdana" w:cstheme="minorHAnsi"/>
          <w:lang w:val="el-GR"/>
        </w:rPr>
      </w:pPr>
      <w:r>
        <w:rPr>
          <w:rFonts w:ascii="Verdana" w:hAnsi="Verdana" w:cstheme="minorHAnsi"/>
          <w:b/>
          <w:lang w:val="el-GR"/>
        </w:rPr>
        <w:t xml:space="preserve">2. Επενδυτικές δαπάνες για </w:t>
      </w:r>
      <w:r w:rsidRPr="00714C2F">
        <w:rPr>
          <w:rFonts w:ascii="Verdana" w:hAnsi="Verdana" w:cstheme="minorHAnsi"/>
          <w:b/>
          <w:lang w:val="el-GR"/>
        </w:rPr>
        <w:t xml:space="preserve">μέτρα ενεργειακής απόδοσης εκτός από μέτρα ενεργειακής απόδοσης σε κτίρια </w:t>
      </w:r>
      <w:r>
        <w:rPr>
          <w:rFonts w:ascii="Verdana" w:hAnsi="Verdana" w:cstheme="minorHAnsi"/>
          <w:b/>
          <w:lang w:val="el-GR"/>
        </w:rPr>
        <w:t>(άρθρο 38 Γ.Α.Κ.)</w:t>
      </w:r>
    </w:p>
    <w:p w:rsidR="00714C2F" w:rsidRDefault="00714C2F" w:rsidP="00997FEC">
      <w:pPr>
        <w:keepNext/>
        <w:spacing w:line="360" w:lineRule="auto"/>
        <w:jc w:val="both"/>
        <w:rPr>
          <w:rFonts w:ascii="Verdana" w:hAnsi="Verdana" w:cstheme="minorHAnsi"/>
          <w:lang w:val="el-GR"/>
        </w:rPr>
      </w:pPr>
    </w:p>
    <w:p w:rsidR="002E16FE" w:rsidRPr="002029EA" w:rsidRDefault="002E16FE" w:rsidP="002E16FE">
      <w:pPr>
        <w:spacing w:line="360" w:lineRule="auto"/>
        <w:jc w:val="both"/>
        <w:rPr>
          <w:rFonts w:ascii="Verdana" w:hAnsi="Verdana" w:cstheme="minorHAnsi"/>
          <w:lang w:val="el-GR"/>
        </w:rPr>
      </w:pPr>
      <w:r w:rsidRPr="002029EA">
        <w:rPr>
          <w:rFonts w:ascii="Verdana" w:hAnsi="Verdana" w:cstheme="minorHAnsi"/>
          <w:lang w:val="el-GR"/>
        </w:rPr>
        <w:t>Οι δαπάνες αυτές αφορούν</w:t>
      </w:r>
      <w:r w:rsidR="00714C2F" w:rsidRPr="002029EA">
        <w:rPr>
          <w:rFonts w:ascii="Verdana" w:hAnsi="Verdana" w:cstheme="minorHAnsi"/>
          <w:lang w:val="el-GR"/>
        </w:rPr>
        <w:t xml:space="preserve"> σε</w:t>
      </w:r>
      <w:r w:rsidRPr="002029EA">
        <w:rPr>
          <w:rFonts w:ascii="Verdana" w:hAnsi="Verdana" w:cstheme="minorHAnsi"/>
          <w:lang w:val="el-GR"/>
        </w:rPr>
        <w:t xml:space="preserve"> πρόσθετες επενδυτικές δαπάνες που απαιτούνται ώστε να επιτευχθεί το υψηλότερο επίπεδο ενεργειακής απόδοσης. Οι δαπάνες που δεν συνδέονται άμεσα με την επίτευξη υψηλότερου επιπέδου ενεργειακής απόδοσης δεν συνιστούν επιλέξιμες δαπάνες. Δεν χορηγούνται ενισχύσεις βάσει του παρόντος άρθρου για επενδύσεις οι οποίες πραγματοποιούνται με σκοπό τη συμμόρφωση με </w:t>
      </w:r>
      <w:proofErr w:type="spellStart"/>
      <w:r w:rsidRPr="002029EA">
        <w:rPr>
          <w:rFonts w:ascii="Verdana" w:hAnsi="Verdana" w:cstheme="minorHAnsi"/>
          <w:lang w:val="el-GR"/>
        </w:rPr>
        <w:t>ενωσιακά</w:t>
      </w:r>
      <w:proofErr w:type="spellEnd"/>
      <w:r w:rsidRPr="002029EA">
        <w:rPr>
          <w:rFonts w:ascii="Verdana" w:hAnsi="Verdana" w:cstheme="minorHAnsi"/>
          <w:lang w:val="el-GR"/>
        </w:rPr>
        <w:t xml:space="preserve"> πρότυπα που έχουν θεσπιστεί και τεθεί σε ισχύ. Μπορούν να χορηγούνται ενισχύσεις βάσει του παρόντος άρθρου με σκοπό τη συμμόρφωση με </w:t>
      </w:r>
      <w:proofErr w:type="spellStart"/>
      <w:r w:rsidRPr="002029EA">
        <w:rPr>
          <w:rFonts w:ascii="Verdana" w:hAnsi="Verdana" w:cstheme="minorHAnsi"/>
          <w:lang w:val="el-GR"/>
        </w:rPr>
        <w:t>ενωσιακά</w:t>
      </w:r>
      <w:proofErr w:type="spellEnd"/>
      <w:r w:rsidRPr="002029EA">
        <w:rPr>
          <w:rFonts w:ascii="Verdana" w:hAnsi="Verdana" w:cstheme="minorHAnsi"/>
          <w:lang w:val="el-GR"/>
        </w:rPr>
        <w:t xml:space="preserve"> πρότυπα που έχουν θεσπιστεί αλλά δεν έχουν ακόμη τεθεί σε ισχύ, υπό την προϋπόθεση ότι η επένδυση υλοποιείται και ολοκληρώνεται τουλάχιστον δεκαοχτώ (18) μήνες πριν από την ημερομηνία έναρξης ισχύος του προτύπου.</w:t>
      </w:r>
    </w:p>
    <w:p w:rsidR="00714C2F" w:rsidRPr="002029EA" w:rsidRDefault="002E16FE" w:rsidP="00714C2F">
      <w:pPr>
        <w:spacing w:line="360" w:lineRule="auto"/>
        <w:jc w:val="both"/>
        <w:rPr>
          <w:rFonts w:ascii="Verdana" w:hAnsi="Verdana" w:cstheme="minorHAnsi"/>
          <w:lang w:val="el-GR"/>
        </w:rPr>
      </w:pPr>
      <w:r w:rsidRPr="002029EA">
        <w:rPr>
          <w:rFonts w:ascii="Verdana" w:hAnsi="Verdana" w:cstheme="minorHAnsi"/>
          <w:lang w:val="el-GR"/>
        </w:rPr>
        <w:t>Οι δαπάνες αυτές ορίζονται στην παράγραφο 7 του Παραρτήματος Β του νόμου 4887/2022 και στο άρθρο 38 του Γ.Α.Κ. και αφορούν</w:t>
      </w:r>
      <w:r w:rsidR="00714C2F" w:rsidRPr="002029EA">
        <w:rPr>
          <w:rFonts w:ascii="Verdana" w:hAnsi="Verdana" w:cstheme="minorHAnsi"/>
          <w:lang w:val="el-GR"/>
        </w:rPr>
        <w:t xml:space="preserve"> σε πρόσθετες επενδυτικές δαπάνες που απαιτούνται ώστε να επιτευχθεί το υψηλότερο επίπεδο ενεργειακής απόδοσης. Καθορίζονται συγκρίνοντας το κόστος της επένδυσης με το κόστος του αντιπαραδείγματος το οποίο θα </w:t>
      </w:r>
      <w:proofErr w:type="spellStart"/>
      <w:r w:rsidR="00714C2F" w:rsidRPr="002029EA">
        <w:rPr>
          <w:rFonts w:ascii="Verdana" w:hAnsi="Verdana" w:cstheme="minorHAnsi"/>
          <w:lang w:val="el-GR"/>
        </w:rPr>
        <w:t>προέκυπτε</w:t>
      </w:r>
      <w:proofErr w:type="spellEnd"/>
      <w:r w:rsidR="00714C2F" w:rsidRPr="002029EA">
        <w:rPr>
          <w:rFonts w:ascii="Verdana" w:hAnsi="Verdana" w:cstheme="minorHAnsi"/>
          <w:lang w:val="el-GR"/>
        </w:rPr>
        <w:t xml:space="preserve"> εάν δεν είχε χορηγηθεί η ενίσχυση, ως εξής: </w:t>
      </w:r>
    </w:p>
    <w:p w:rsidR="00714C2F" w:rsidRPr="002029EA" w:rsidRDefault="00714C2F" w:rsidP="00714C2F">
      <w:pPr>
        <w:tabs>
          <w:tab w:val="left" w:pos="426"/>
        </w:tabs>
        <w:spacing w:line="360" w:lineRule="auto"/>
        <w:ind w:left="426" w:hanging="426"/>
        <w:jc w:val="both"/>
        <w:rPr>
          <w:rFonts w:ascii="Verdana" w:hAnsi="Verdana" w:cstheme="minorHAnsi"/>
          <w:lang w:val="el-GR"/>
        </w:rPr>
      </w:pPr>
      <w:r w:rsidRPr="002029EA">
        <w:rPr>
          <w:rFonts w:ascii="Verdana" w:hAnsi="Verdana" w:cstheme="minorHAnsi"/>
          <w:lang w:val="el-GR"/>
        </w:rPr>
        <w:lastRenderedPageBreak/>
        <w:t>α)</w:t>
      </w:r>
      <w:r w:rsidRPr="002029EA">
        <w:rPr>
          <w:rFonts w:ascii="Verdana" w:hAnsi="Verdana" w:cstheme="minorHAnsi"/>
          <w:lang w:val="el-GR"/>
        </w:rPr>
        <w:tab/>
        <w:t xml:space="preserve">αν το αντιπαράδειγμα συνίσταται στην πραγματοποίηση επένδυσης χαμηλότερης ενεργειακής απόδοσης που αντιστοιχεί στη συνήθη εμπορική πρακτική στον συγκεκριμένο τομέα ή στο πλαίσιο της συγκεκριμένης δραστηριότητας, οι επιλέξιμες δαπάνες συνίστανται στη διαφορά μεταξύ του κόστους της επένδυσης για την οποία χορηγείται κρατική ενίσχυση και του κόστους της επένδυσης χαμηλότερης ενεργειακής απόδοσης· </w:t>
      </w:r>
    </w:p>
    <w:p w:rsidR="00714C2F" w:rsidRPr="002029EA" w:rsidRDefault="00714C2F" w:rsidP="00714C2F">
      <w:pPr>
        <w:tabs>
          <w:tab w:val="left" w:pos="426"/>
        </w:tabs>
        <w:spacing w:line="360" w:lineRule="auto"/>
        <w:ind w:left="426" w:hanging="426"/>
        <w:jc w:val="both"/>
        <w:rPr>
          <w:rFonts w:ascii="Verdana" w:hAnsi="Verdana" w:cstheme="minorHAnsi"/>
          <w:lang w:val="el-GR"/>
        </w:rPr>
      </w:pPr>
      <w:r w:rsidRPr="002029EA">
        <w:rPr>
          <w:rFonts w:ascii="Verdana" w:hAnsi="Verdana" w:cstheme="minorHAnsi"/>
          <w:lang w:val="el-GR"/>
        </w:rPr>
        <w:t>β)</w:t>
      </w:r>
      <w:r w:rsidRPr="002029EA">
        <w:rPr>
          <w:rFonts w:ascii="Verdana" w:hAnsi="Verdana" w:cstheme="minorHAnsi"/>
          <w:lang w:val="el-GR"/>
        </w:rPr>
        <w:tab/>
        <w:t>αν το αντιπαράδειγμα συνίσταται στην πραγματοποίηση της ίδιας επένδυσης σε μεταγενέστερη χρονική στιγμή, οι επιλέξιμες δαπάνες συνίστανται στη διαφορά μεταξύ του κόστους της επένδυσης για την οποία χορηγείται κρατική ενίσχυση και της καθαρής παρούσας αξίας του κόστους της μεταγενέστερης επένδυσης, με αναγωγή κατά τον χρόνο κατά τον οποίο θα πραγματοποιούνταν η ενισχυόμενη επένδυση·</w:t>
      </w:r>
    </w:p>
    <w:p w:rsidR="00714C2F" w:rsidRPr="002029EA" w:rsidRDefault="00714C2F" w:rsidP="00714C2F">
      <w:pPr>
        <w:tabs>
          <w:tab w:val="left" w:pos="426"/>
        </w:tabs>
        <w:spacing w:line="360" w:lineRule="auto"/>
        <w:ind w:left="426" w:hanging="426"/>
        <w:jc w:val="both"/>
        <w:rPr>
          <w:rFonts w:ascii="Verdana" w:hAnsi="Verdana" w:cstheme="minorHAnsi"/>
          <w:lang w:val="el-GR"/>
        </w:rPr>
      </w:pPr>
      <w:r w:rsidRPr="002029EA">
        <w:rPr>
          <w:rFonts w:ascii="Verdana" w:hAnsi="Verdana" w:cstheme="minorHAnsi"/>
          <w:lang w:val="el-GR"/>
        </w:rPr>
        <w:t>γ)</w:t>
      </w:r>
      <w:r w:rsidRPr="002029EA">
        <w:rPr>
          <w:rFonts w:ascii="Verdana" w:hAnsi="Verdana" w:cstheme="minorHAnsi"/>
          <w:lang w:val="el-GR"/>
        </w:rPr>
        <w:tab/>
        <w:t xml:space="preserve">αν το αντιπαράδειγμα συνίσταται στη διατήρηση των υφιστάμενων εγκαταστάσεων και του υφιστάμενου εξοπλισμού σε λειτουργία, οι επιλέξιμες δαπάνες συνίστανται στη διαφορά μεταξύ του κόστους της επένδυσης για την οποία χορηγείται κρατική ενίσχυση και της καθαρής παρούσας αξίας της επένδυσης στη συντήρηση, επισκευή και εκσυγχρονισμό της υφιστάμενης εγκατάστασης και του υφιστάμενου εξοπλισμού, με αναγωγή κατά τον χρόνο κατά τον οποίο θα πραγματοποιούνταν η ενισχυόμενη επένδυση· </w:t>
      </w:r>
    </w:p>
    <w:p w:rsidR="00714C2F" w:rsidRPr="002029EA" w:rsidRDefault="00714C2F" w:rsidP="00714C2F">
      <w:pPr>
        <w:tabs>
          <w:tab w:val="left" w:pos="426"/>
        </w:tabs>
        <w:spacing w:line="360" w:lineRule="auto"/>
        <w:ind w:left="426" w:hanging="426"/>
        <w:jc w:val="both"/>
        <w:rPr>
          <w:rFonts w:ascii="Verdana" w:hAnsi="Verdana" w:cstheme="minorHAnsi"/>
          <w:lang w:val="el-GR"/>
        </w:rPr>
      </w:pPr>
      <w:r w:rsidRPr="002029EA">
        <w:rPr>
          <w:rFonts w:ascii="Verdana" w:hAnsi="Verdana" w:cstheme="minorHAnsi"/>
          <w:lang w:val="el-GR"/>
        </w:rPr>
        <w:t>δ)</w:t>
      </w:r>
      <w:r w:rsidRPr="002029EA">
        <w:rPr>
          <w:rFonts w:ascii="Verdana" w:hAnsi="Verdana" w:cstheme="minorHAnsi"/>
          <w:lang w:val="el-GR"/>
        </w:rPr>
        <w:tab/>
        <w:t xml:space="preserve">στην περίπτωση εξοπλισμού που αποτελεί αντικείμενο σύμβασης χρηματοδοτικής μίσθωσης, οι επιλέξιμες δαπάνες συνίστανται στη διαφορά, από άποψη καθαρής παρούσας αξίας, μεταξύ της μίσθωσης του εξοπλισμού για τον οποίο χορηγείται κρατική ενίσχυση και της μίσθωσης του λιγότερο ενεργειακά αποδοτικού εξοπλισμού που θα μισθωνόταν εάν δεν είχε χορηγηθεί η ενίσχυση· το κόστος μίσθωσης δεν περιλαμβάνει δαπάνες που σχετίζονται με τη λειτουργία του εξοπλισμού ή της εγκατάστασης (κόστος καυσίμων, ασφάλιση, συντήρηση, άλλα αναλώσιμα), ανεξάρτητα από το αν καλύπτονται από τη σύμβαση χρηματοδοτικής μίσθωσης· </w:t>
      </w:r>
    </w:p>
    <w:p w:rsidR="00714C2F" w:rsidRPr="002029EA" w:rsidRDefault="00714C2F" w:rsidP="00714C2F">
      <w:pPr>
        <w:spacing w:line="360" w:lineRule="auto"/>
        <w:jc w:val="both"/>
        <w:rPr>
          <w:rFonts w:ascii="Verdana" w:hAnsi="Verdana" w:cstheme="minorHAnsi"/>
          <w:lang w:val="el-GR"/>
        </w:rPr>
      </w:pPr>
      <w:r w:rsidRPr="002029EA">
        <w:rPr>
          <w:rFonts w:ascii="Verdana" w:hAnsi="Verdana" w:cstheme="minorHAnsi"/>
          <w:lang w:val="el-GR"/>
        </w:rPr>
        <w:t xml:space="preserve">Σε όλες τις περιπτώσεις που απαριθμούνται στο πρώτο εδάφιο, το αντιπαράδειγμα αντιστοιχεί σε επένδυση με συγκρίσιμη παραγωγική ικανότητα και διάρκεια που συμμορφώνεται με τα ήδη ισχύοντα </w:t>
      </w:r>
      <w:proofErr w:type="spellStart"/>
      <w:r w:rsidRPr="002029EA">
        <w:rPr>
          <w:rFonts w:ascii="Verdana" w:hAnsi="Verdana" w:cstheme="minorHAnsi"/>
          <w:lang w:val="el-GR"/>
        </w:rPr>
        <w:t>ενωσιακά</w:t>
      </w:r>
      <w:proofErr w:type="spellEnd"/>
      <w:r w:rsidRPr="002029EA">
        <w:rPr>
          <w:rFonts w:ascii="Verdana" w:hAnsi="Verdana" w:cstheme="minorHAnsi"/>
          <w:lang w:val="el-GR"/>
        </w:rPr>
        <w:t xml:space="preserve"> πρότυπα. Το αντιπαράδειγμα πρέπει να είναι αξιόπιστο υπό το πρίσμα των νομικών απαιτήσεων, των συνθηκών της αγοράς και των κινήτρων που παρέχει το σύστημα εμπορίας εκπομπών της ΕΕ (ΣΕΔΕ της ΕΕ). </w:t>
      </w:r>
    </w:p>
    <w:p w:rsidR="002E16FE" w:rsidRPr="002029EA" w:rsidRDefault="00714C2F" w:rsidP="00714C2F">
      <w:pPr>
        <w:spacing w:line="360" w:lineRule="auto"/>
        <w:jc w:val="both"/>
        <w:rPr>
          <w:rFonts w:ascii="Verdana" w:hAnsi="Verdana" w:cstheme="minorHAnsi"/>
          <w:lang w:val="el-GR"/>
        </w:rPr>
      </w:pPr>
      <w:r w:rsidRPr="002029EA">
        <w:rPr>
          <w:rFonts w:ascii="Verdana" w:hAnsi="Verdana" w:cstheme="minorHAnsi"/>
          <w:lang w:val="el-GR"/>
        </w:rPr>
        <w:t xml:space="preserve">Όταν η επένδυση συνίσταται σε σαφώς </w:t>
      </w:r>
      <w:proofErr w:type="spellStart"/>
      <w:r w:rsidRPr="002029EA">
        <w:rPr>
          <w:rFonts w:ascii="Verdana" w:hAnsi="Verdana" w:cstheme="minorHAnsi"/>
          <w:lang w:val="el-GR"/>
        </w:rPr>
        <w:t>προσδιορίσιμη</w:t>
      </w:r>
      <w:proofErr w:type="spellEnd"/>
      <w:r w:rsidRPr="002029EA">
        <w:rPr>
          <w:rFonts w:ascii="Verdana" w:hAnsi="Verdana" w:cstheme="minorHAnsi"/>
          <w:lang w:val="el-GR"/>
        </w:rPr>
        <w:t xml:space="preserve"> επένδυση που αποσκοπεί αποκλειστικά στη βελτίωση της ενεργειακής απόδοσης, για την οποία δεν υπάρχει λιγότερο ενεργειακά αποδοτικό αντιπαράδειγμα όσον αφορά την επένδυση, επιλέξιμες δαπάνες είναι οι συνολικές επενδυτικές δαπάνες.</w:t>
      </w:r>
    </w:p>
    <w:p w:rsidR="00714C2F" w:rsidRPr="002029EA" w:rsidRDefault="00714C2F" w:rsidP="00714C2F">
      <w:pPr>
        <w:spacing w:line="360" w:lineRule="auto"/>
        <w:jc w:val="both"/>
        <w:rPr>
          <w:rFonts w:ascii="Verdana" w:hAnsi="Verdana" w:cstheme="minorHAnsi"/>
          <w:lang w:val="el-GR"/>
        </w:rPr>
      </w:pPr>
      <w:r w:rsidRPr="002029EA">
        <w:rPr>
          <w:rFonts w:ascii="Verdana" w:hAnsi="Verdana" w:cstheme="minorHAnsi"/>
          <w:lang w:val="el-GR"/>
        </w:rPr>
        <w:t>Οι δαπάνες που δεν συνδέονται άμεσα με την επίτευξη υψηλότερου επιπέδου ενεργειακής απόδοσης δεν είναι επιλέξιμες.</w:t>
      </w:r>
    </w:p>
    <w:p w:rsidR="00714C2F" w:rsidRPr="002029EA" w:rsidRDefault="00714C2F" w:rsidP="00714C2F">
      <w:pPr>
        <w:spacing w:line="360" w:lineRule="auto"/>
        <w:jc w:val="both"/>
        <w:rPr>
          <w:rFonts w:ascii="Verdana" w:hAnsi="Verdana" w:cstheme="minorHAnsi"/>
          <w:lang w:val="el-GR"/>
        </w:rPr>
      </w:pPr>
      <w:r w:rsidRPr="002029EA">
        <w:rPr>
          <w:rFonts w:ascii="Verdana" w:hAnsi="Verdana" w:cstheme="minorHAnsi"/>
          <w:lang w:val="el-GR"/>
        </w:rPr>
        <w:t xml:space="preserve">Η ένταση της ενίσχυσης των δαπανών ορίζεται σε ποσοστό τριάντα τοις εκατό (30%) αυτών. Η ένταση της ενίσχυσης αυξάνεται κατά είκοσι (20) ποσοστιαίες μονάδες σε μικρές επιχειρήσεις και κατά δέκα (10) ποσοστιαίες μονάδες σε μεσαίες επιχειρήσεις. Η ένταση της ενίσχυσης αυξάνεται κατά δεκαπέντε (15) ποσοστιαίες μονάδες για επενδύσεις σε ενισχυόμενες περιοχές που πληρούν τις προϋποθέσεις του στοιχείου α’ της παρ. 3 του άρθρου 107 της Σ.Λ.Ε.Ε. και κατά πέντε (5) </w:t>
      </w:r>
      <w:r w:rsidRPr="002029EA">
        <w:rPr>
          <w:rFonts w:ascii="Verdana" w:hAnsi="Verdana" w:cstheme="minorHAnsi"/>
          <w:lang w:val="el-GR"/>
        </w:rPr>
        <w:lastRenderedPageBreak/>
        <w:t>ποσοστιαίες μονάδες για τις επενδύσεις σε ενισχυόμενες περιοχές που πληρούν τις προϋποθέσεις του στοιχείου γ’ της παρ. 3 του άρθρου 107 της Σ.Λ.Ε.Ε..</w:t>
      </w:r>
    </w:p>
    <w:p w:rsidR="00A105BF" w:rsidRDefault="00A105BF" w:rsidP="00714C2F">
      <w:pPr>
        <w:spacing w:line="360" w:lineRule="auto"/>
        <w:jc w:val="both"/>
        <w:rPr>
          <w:rFonts w:ascii="Verdana" w:hAnsi="Verdana" w:cstheme="minorHAnsi"/>
          <w:color w:val="FF0000"/>
          <w:lang w:val="el-GR"/>
        </w:rPr>
      </w:pPr>
    </w:p>
    <w:p w:rsidR="002029EA" w:rsidRDefault="002029EA" w:rsidP="00714C2F">
      <w:pPr>
        <w:spacing w:line="360" w:lineRule="auto"/>
        <w:jc w:val="both"/>
        <w:rPr>
          <w:rFonts w:ascii="Verdana" w:hAnsi="Verdana" w:cstheme="minorHAnsi"/>
          <w:color w:val="FF0000"/>
          <w:lang w:val="el-GR"/>
        </w:rPr>
      </w:pPr>
    </w:p>
    <w:p w:rsidR="00A105BF" w:rsidRDefault="00A105BF" w:rsidP="00997FEC">
      <w:pPr>
        <w:keepNext/>
        <w:spacing w:line="360" w:lineRule="auto"/>
        <w:jc w:val="both"/>
        <w:rPr>
          <w:rFonts w:ascii="Verdana" w:hAnsi="Verdana" w:cstheme="minorHAnsi"/>
          <w:b/>
          <w:lang w:val="el-GR"/>
        </w:rPr>
      </w:pPr>
      <w:r>
        <w:rPr>
          <w:rFonts w:ascii="Verdana" w:hAnsi="Verdana" w:cstheme="minorHAnsi"/>
          <w:b/>
          <w:lang w:val="el-GR"/>
        </w:rPr>
        <w:t xml:space="preserve">3. Επενδυτικές δαπάνες για εγκατάσταση αποδοτικών συστημάτων τηλεθέρμανσης και/ή </w:t>
      </w:r>
      <w:proofErr w:type="spellStart"/>
      <w:r>
        <w:rPr>
          <w:rFonts w:ascii="Verdana" w:hAnsi="Verdana" w:cstheme="minorHAnsi"/>
          <w:b/>
          <w:lang w:val="el-GR"/>
        </w:rPr>
        <w:t>τηλεψύξης</w:t>
      </w:r>
      <w:proofErr w:type="spellEnd"/>
      <w:r>
        <w:rPr>
          <w:rFonts w:ascii="Verdana" w:hAnsi="Verdana" w:cstheme="minorHAnsi"/>
          <w:b/>
          <w:lang w:val="el-GR"/>
        </w:rPr>
        <w:t xml:space="preserve"> </w:t>
      </w:r>
      <w:r w:rsidRPr="00A105BF">
        <w:rPr>
          <w:rFonts w:ascii="Verdana" w:hAnsi="Verdana" w:cstheme="minorHAnsi"/>
          <w:b/>
          <w:lang w:val="el-GR"/>
        </w:rPr>
        <w:t>(άρθρο 4</w:t>
      </w:r>
      <w:r w:rsidR="00F92370">
        <w:rPr>
          <w:rFonts w:ascii="Verdana" w:hAnsi="Verdana" w:cstheme="minorHAnsi"/>
          <w:b/>
          <w:lang w:val="el-GR"/>
        </w:rPr>
        <w:t>6</w:t>
      </w:r>
      <w:r w:rsidRPr="00A105BF">
        <w:rPr>
          <w:rFonts w:ascii="Verdana" w:hAnsi="Verdana" w:cstheme="minorHAnsi"/>
          <w:b/>
          <w:lang w:val="el-GR"/>
        </w:rPr>
        <w:t xml:space="preserve"> ΓΑΚ).</w:t>
      </w:r>
    </w:p>
    <w:p w:rsidR="007022F7" w:rsidRDefault="007022F7" w:rsidP="00997FEC">
      <w:pPr>
        <w:keepNext/>
        <w:spacing w:line="360" w:lineRule="auto"/>
        <w:jc w:val="both"/>
        <w:rPr>
          <w:rFonts w:ascii="Verdana" w:eastAsia="SimSun" w:hAnsi="Verdana" w:cstheme="minorHAnsi"/>
          <w:b/>
          <w:bCs/>
          <w:color w:val="000000" w:themeColor="text1"/>
          <w:lang w:val="el-GR"/>
        </w:rPr>
      </w:pPr>
    </w:p>
    <w:p w:rsidR="007022F7" w:rsidRPr="00F92370" w:rsidRDefault="007022F7" w:rsidP="007022F7">
      <w:pPr>
        <w:spacing w:line="360" w:lineRule="auto"/>
        <w:jc w:val="both"/>
        <w:rPr>
          <w:rFonts w:ascii="Verdana" w:hAnsi="Verdana" w:cstheme="minorHAnsi"/>
          <w:lang w:val="el-GR"/>
        </w:rPr>
      </w:pPr>
      <w:r w:rsidRPr="00F92370">
        <w:rPr>
          <w:rFonts w:ascii="Verdana" w:hAnsi="Verdana" w:cstheme="minorHAnsi"/>
          <w:lang w:val="el-GR"/>
        </w:rPr>
        <w:t xml:space="preserve">Οι δαπάνες αυτές αφορούν στην κατασκευή ή στην αναβάθμιση ενός ενεργειακά αποδοτικού συστήματος τηλεθέρμανσης και/ή </w:t>
      </w:r>
      <w:proofErr w:type="spellStart"/>
      <w:r w:rsidRPr="00F92370">
        <w:rPr>
          <w:rFonts w:ascii="Verdana" w:hAnsi="Verdana" w:cstheme="minorHAnsi"/>
          <w:lang w:val="el-GR"/>
        </w:rPr>
        <w:t>τηλεψύξης</w:t>
      </w:r>
      <w:proofErr w:type="spellEnd"/>
      <w:r w:rsidRPr="00F92370">
        <w:rPr>
          <w:rFonts w:ascii="Verdana" w:hAnsi="Verdana" w:cstheme="minorHAnsi"/>
          <w:lang w:val="el-GR"/>
        </w:rPr>
        <w:t>.</w:t>
      </w:r>
    </w:p>
    <w:p w:rsidR="007022F7" w:rsidRPr="007022F7" w:rsidRDefault="007022F7" w:rsidP="007022F7">
      <w:pPr>
        <w:spacing w:line="360" w:lineRule="auto"/>
        <w:jc w:val="both"/>
        <w:rPr>
          <w:rFonts w:ascii="Verdana" w:eastAsia="SimSun" w:hAnsi="Verdana" w:cstheme="minorHAnsi"/>
          <w:bCs/>
          <w:color w:val="000000" w:themeColor="text1"/>
          <w:lang w:val="el-GR"/>
        </w:rPr>
      </w:pPr>
      <w:r>
        <w:rPr>
          <w:rFonts w:ascii="Verdana" w:eastAsia="SimSun" w:hAnsi="Verdana" w:cstheme="minorHAnsi"/>
          <w:bCs/>
          <w:color w:val="000000" w:themeColor="text1"/>
          <w:lang w:val="el-GR"/>
        </w:rPr>
        <w:t>Οι δαπάνες αυτές ορίζονται στην παράγραφο 10 του Παραρτήματος Β του νόμου 4887/2022 και στο άρθρο 4</w:t>
      </w:r>
      <w:r w:rsidR="00F92370">
        <w:rPr>
          <w:rFonts w:ascii="Verdana" w:eastAsia="SimSun" w:hAnsi="Verdana" w:cstheme="minorHAnsi"/>
          <w:bCs/>
          <w:color w:val="000000" w:themeColor="text1"/>
          <w:lang w:val="el-GR"/>
        </w:rPr>
        <w:t>6</w:t>
      </w:r>
      <w:r>
        <w:rPr>
          <w:rFonts w:ascii="Verdana" w:eastAsia="SimSun" w:hAnsi="Verdana" w:cstheme="minorHAnsi"/>
          <w:bCs/>
          <w:color w:val="000000" w:themeColor="text1"/>
          <w:lang w:val="el-GR"/>
        </w:rPr>
        <w:t xml:space="preserve"> του Γ.Α.Κ. και </w:t>
      </w:r>
      <w:r>
        <w:rPr>
          <w:rFonts w:ascii="Verdana" w:hAnsi="Verdana" w:cstheme="minorHAnsi"/>
          <w:lang w:val="el-GR"/>
        </w:rPr>
        <w:t>αφορούν σ</w:t>
      </w:r>
      <w:r w:rsidRPr="007022F7">
        <w:rPr>
          <w:rFonts w:ascii="Verdana" w:eastAsia="SimSun" w:hAnsi="Verdana" w:cstheme="minorHAnsi"/>
          <w:bCs/>
          <w:color w:val="000000" w:themeColor="text1"/>
          <w:lang w:val="el-GR"/>
        </w:rPr>
        <w:t xml:space="preserve">την κατασκευή, </w:t>
      </w:r>
      <w:r>
        <w:rPr>
          <w:rFonts w:ascii="Verdana" w:eastAsia="SimSun" w:hAnsi="Verdana" w:cstheme="minorHAnsi"/>
          <w:bCs/>
          <w:color w:val="000000" w:themeColor="text1"/>
          <w:lang w:val="el-GR"/>
        </w:rPr>
        <w:t>σ</w:t>
      </w:r>
      <w:r w:rsidRPr="007022F7">
        <w:rPr>
          <w:rFonts w:ascii="Verdana" w:eastAsia="SimSun" w:hAnsi="Verdana" w:cstheme="minorHAnsi"/>
          <w:bCs/>
          <w:color w:val="000000" w:themeColor="text1"/>
          <w:lang w:val="el-GR"/>
        </w:rPr>
        <w:t xml:space="preserve">την επέκταση ή </w:t>
      </w:r>
      <w:r>
        <w:rPr>
          <w:rFonts w:ascii="Verdana" w:eastAsia="SimSun" w:hAnsi="Verdana" w:cstheme="minorHAnsi"/>
          <w:bCs/>
          <w:color w:val="000000" w:themeColor="text1"/>
          <w:lang w:val="el-GR"/>
        </w:rPr>
        <w:t>σ</w:t>
      </w:r>
      <w:r w:rsidRPr="007022F7">
        <w:rPr>
          <w:rFonts w:ascii="Verdana" w:eastAsia="SimSun" w:hAnsi="Verdana" w:cstheme="minorHAnsi"/>
          <w:bCs/>
          <w:color w:val="000000" w:themeColor="text1"/>
          <w:lang w:val="el-GR"/>
        </w:rPr>
        <w:t xml:space="preserve">την αναβάθμιση ενεργειακά αποδοτικών συστημάτων τηλεθέρμανσης και/ή </w:t>
      </w:r>
      <w:proofErr w:type="spellStart"/>
      <w:r w:rsidRPr="007022F7">
        <w:rPr>
          <w:rFonts w:ascii="Verdana" w:eastAsia="SimSun" w:hAnsi="Verdana" w:cstheme="minorHAnsi"/>
          <w:bCs/>
          <w:color w:val="000000" w:themeColor="text1"/>
          <w:lang w:val="el-GR"/>
        </w:rPr>
        <w:t>τηλεψύξης</w:t>
      </w:r>
      <w:proofErr w:type="spellEnd"/>
      <w:r w:rsidRPr="007022F7">
        <w:rPr>
          <w:rFonts w:ascii="Verdana" w:eastAsia="SimSun" w:hAnsi="Verdana" w:cstheme="minorHAnsi"/>
          <w:bCs/>
          <w:color w:val="000000" w:themeColor="text1"/>
          <w:lang w:val="el-GR"/>
        </w:rPr>
        <w:t>, συμπεριλαμβανομένης της κατασκευής, της επέκτασης ή της αναβάθμισης εγκαταστάσεων παραγωγής θέρμανσης ή ψύξης και/ή λύσεων αποθήκευσης θερμότητας και/ή του δικτύου διανομής, συμβιβάζονται με την εσωτερική αγορά κατά την έννοια του άρθρου 107 παράγραφος 3 της Συνθήκης και απαλλάσσονται από την υποχρέωση κοινοποίησης που προβλέπεται στο άρθρο 108 παράγραφος 3 της Συνθήκης, εφόσον πληρούνται οι προϋποθέσεις του  άρθρου</w:t>
      </w:r>
      <w:r>
        <w:rPr>
          <w:rFonts w:ascii="Verdana" w:eastAsia="SimSun" w:hAnsi="Verdana" w:cstheme="minorHAnsi"/>
          <w:bCs/>
          <w:color w:val="000000" w:themeColor="text1"/>
          <w:lang w:val="el-GR"/>
        </w:rPr>
        <w:t xml:space="preserve"> 4</w:t>
      </w:r>
      <w:r w:rsidR="00F92370">
        <w:rPr>
          <w:rFonts w:ascii="Verdana" w:eastAsia="SimSun" w:hAnsi="Verdana" w:cstheme="minorHAnsi"/>
          <w:bCs/>
          <w:color w:val="000000" w:themeColor="text1"/>
          <w:lang w:val="el-GR"/>
        </w:rPr>
        <w:t>6</w:t>
      </w:r>
      <w:r w:rsidRPr="007022F7">
        <w:rPr>
          <w:rFonts w:ascii="Verdana" w:eastAsia="SimSun" w:hAnsi="Verdana" w:cstheme="minorHAnsi"/>
          <w:bCs/>
          <w:color w:val="000000" w:themeColor="text1"/>
          <w:lang w:val="el-GR"/>
        </w:rPr>
        <w:t xml:space="preserve"> και του κεφαλαίου Ι</w:t>
      </w:r>
      <w:r>
        <w:rPr>
          <w:rFonts w:ascii="Verdana" w:eastAsia="SimSun" w:hAnsi="Verdana" w:cstheme="minorHAnsi"/>
          <w:bCs/>
          <w:color w:val="000000" w:themeColor="text1"/>
          <w:lang w:val="el-GR"/>
        </w:rPr>
        <w:t xml:space="preserve"> του ΓΑΚ</w:t>
      </w:r>
    </w:p>
    <w:p w:rsidR="00F523D3" w:rsidRDefault="00F523D3" w:rsidP="00F523D3">
      <w:pPr>
        <w:spacing w:line="360" w:lineRule="auto"/>
        <w:jc w:val="both"/>
        <w:rPr>
          <w:rFonts w:ascii="Verdana" w:eastAsia="SimSun" w:hAnsi="Verdana" w:cstheme="minorHAnsi"/>
          <w:bCs/>
          <w:color w:val="000000" w:themeColor="text1"/>
          <w:lang w:val="el-GR"/>
        </w:rPr>
      </w:pPr>
      <w:r w:rsidRPr="00F523D3">
        <w:rPr>
          <w:rFonts w:ascii="Verdana" w:eastAsia="SimSun" w:hAnsi="Verdana" w:cstheme="minorHAnsi"/>
          <w:bCs/>
          <w:color w:val="000000" w:themeColor="text1"/>
          <w:lang w:val="el-GR"/>
        </w:rPr>
        <w:t xml:space="preserve">Οι ενισχύσεις χορηγούνται μόνο για την κατασκευή, την επέκταση ή την αναβάθμιση συστημάτων τηλεθέρμανσης και/ή </w:t>
      </w:r>
      <w:proofErr w:type="spellStart"/>
      <w:r w:rsidRPr="00F523D3">
        <w:rPr>
          <w:rFonts w:ascii="Verdana" w:eastAsia="SimSun" w:hAnsi="Verdana" w:cstheme="minorHAnsi"/>
          <w:bCs/>
          <w:color w:val="000000" w:themeColor="text1"/>
          <w:lang w:val="el-GR"/>
        </w:rPr>
        <w:t>τηλεψύξης</w:t>
      </w:r>
      <w:proofErr w:type="spellEnd"/>
      <w:r w:rsidRPr="00F523D3">
        <w:rPr>
          <w:rFonts w:ascii="Verdana" w:eastAsia="SimSun" w:hAnsi="Verdana" w:cstheme="minorHAnsi"/>
          <w:bCs/>
          <w:color w:val="000000" w:themeColor="text1"/>
          <w:lang w:val="el-GR"/>
        </w:rPr>
        <w:t xml:space="preserve"> τα οποία είναι ή πρόκειται να καταστούν ενεργειακά αποδοτικά, όπως ορίζεται στο άρθρο 2 σημείο 41) της οδηγίας 2012/27/ΕΕ. Σε περίπτωση που το σύστημα δεν έχει ακόμη καταστεί πλήρως ενεργειακά αποδοτικό ως αποτέλεσμα των ενισχυόμενων εργασιών στο δίκτυο διανομής, οι πρόσθετες αναβαθμίσεις που απαιτούνται για την πλήρωση των προϋποθέσεων υπαγωγής στον ορισμό της ενεργειακά αποδοτικής τηλεθέρμανσης και/ή </w:t>
      </w:r>
      <w:proofErr w:type="spellStart"/>
      <w:r w:rsidRPr="00F523D3">
        <w:rPr>
          <w:rFonts w:ascii="Verdana" w:eastAsia="SimSun" w:hAnsi="Verdana" w:cstheme="minorHAnsi"/>
          <w:bCs/>
          <w:color w:val="000000" w:themeColor="text1"/>
          <w:lang w:val="el-GR"/>
        </w:rPr>
        <w:t>τηλεψύξης</w:t>
      </w:r>
      <w:proofErr w:type="spellEnd"/>
      <w:r w:rsidRPr="00F523D3">
        <w:rPr>
          <w:rFonts w:ascii="Verdana" w:eastAsia="SimSun" w:hAnsi="Verdana" w:cstheme="minorHAnsi"/>
          <w:bCs/>
          <w:color w:val="000000" w:themeColor="text1"/>
          <w:lang w:val="el-GR"/>
        </w:rPr>
        <w:t xml:space="preserve"> αρχίζουν, για τις εγκαταστάσεις παραγωγής θέρμανσης και/ή ψύξης που αποτελούν αντικείμενο της ενίσχυσης, εντός τριών ετών από την έναρξη των ενισχυόμενων εργασιών στο δίκτυο διανομής.</w:t>
      </w:r>
    </w:p>
    <w:p w:rsidR="00F523D3" w:rsidRPr="00F523D3" w:rsidRDefault="00F523D3" w:rsidP="00F523D3">
      <w:pPr>
        <w:spacing w:line="360" w:lineRule="auto"/>
        <w:jc w:val="both"/>
        <w:rPr>
          <w:rFonts w:ascii="Verdana" w:eastAsia="SimSun" w:hAnsi="Verdana" w:cstheme="minorHAnsi"/>
          <w:bCs/>
          <w:color w:val="000000" w:themeColor="text1"/>
          <w:lang w:val="el-GR"/>
        </w:rPr>
      </w:pPr>
      <w:r w:rsidRPr="00F523D3">
        <w:rPr>
          <w:rFonts w:ascii="Verdana" w:eastAsia="SimSun" w:hAnsi="Verdana" w:cstheme="minorHAnsi"/>
          <w:bCs/>
          <w:color w:val="000000" w:themeColor="text1"/>
          <w:lang w:val="el-GR"/>
        </w:rPr>
        <w:t xml:space="preserve">Μπορούν να χορηγούνται ενισχύσεις για παραγωγή ενέργειας που βασίζεται σε ανανεώσιμες πηγές, συμπεριλαμβανομένων αντλιών θερμότητας που συμμορφώνονται με το παράρτημα VII της οδηγίας (ΕΕ) 2018/2001, για </w:t>
      </w:r>
      <w:proofErr w:type="spellStart"/>
      <w:r w:rsidRPr="00F523D3">
        <w:rPr>
          <w:rFonts w:ascii="Verdana" w:eastAsia="SimSun" w:hAnsi="Verdana" w:cstheme="minorHAnsi"/>
          <w:bCs/>
          <w:color w:val="000000" w:themeColor="text1"/>
          <w:lang w:val="el-GR"/>
        </w:rPr>
        <w:t>απορριπτόμενη</w:t>
      </w:r>
      <w:proofErr w:type="spellEnd"/>
      <w:r w:rsidRPr="00F523D3">
        <w:rPr>
          <w:rFonts w:ascii="Verdana" w:eastAsia="SimSun" w:hAnsi="Verdana" w:cstheme="minorHAnsi"/>
          <w:bCs/>
          <w:color w:val="000000" w:themeColor="text1"/>
          <w:lang w:val="el-GR"/>
        </w:rPr>
        <w:t xml:space="preserve"> θερμότητα ή συμπαραγωγή υψηλής απόδοσης, καθώς και για λύσεις αποθήκευσης θερμικής ενέργειας. Οι ενισχύσεις για παραγωγή ενέργειας που βασίζεται σε απόβλητα μπορούν να βασίζονται είτε σε απόβλητα που εμπίπτουν στον ορισμό των ανανεώσιμων πηγών ενέργειας είτε σε απόβλητα που χρησιμοποιούνται για την τροφοδότηση εγκαταστάσεων που εμπίπτουν στον ορισμό της συμπαραγωγής υψηλής απόδοσης. Τα απόβλητα που χρησιμοποιούνται ως καύσιμα τροφοδοσίας δεν πρέπει να καταστρατηγούν την αρχή της ιεράρχησης των αποβλήτων, όπως ορίζεται στο άρθρο 4 σημείο 1) της οδηγίας 2008/98/ΕΚ.</w:t>
      </w:r>
    </w:p>
    <w:p w:rsidR="00F523D3" w:rsidRDefault="00F523D3" w:rsidP="00F523D3">
      <w:pPr>
        <w:spacing w:line="360" w:lineRule="auto"/>
        <w:jc w:val="both"/>
        <w:rPr>
          <w:rFonts w:ascii="Verdana" w:eastAsia="SimSun" w:hAnsi="Verdana" w:cstheme="minorHAnsi"/>
          <w:bCs/>
          <w:color w:val="000000" w:themeColor="text1"/>
          <w:lang w:val="el-GR"/>
        </w:rPr>
      </w:pPr>
      <w:r w:rsidRPr="00F523D3">
        <w:rPr>
          <w:rFonts w:ascii="Verdana" w:eastAsia="SimSun" w:hAnsi="Verdana" w:cstheme="minorHAnsi"/>
          <w:bCs/>
          <w:color w:val="000000" w:themeColor="text1"/>
          <w:lang w:val="el-GR"/>
        </w:rPr>
        <w:t xml:space="preserve">Δεν χορηγούνται ενισχύσεις για την κατασκευή ή την αναβάθμιση εγκαταστάσεων ηλεκτροπαραγωγής που χρησιμοποιούν ορυκτά καύσιμα, με εξαίρεση το φυσικό αέριο. Ενισχύσεις για την κατασκευή ή την αναβάθμιση εγκαταστάσεων παραγωγής με βάση το φυσικό αέριο μπορούν να χορηγούνται μόνον εφόσον διασφαλίζεται η συμμόρφωση με τους κλιματικούς </w:t>
      </w:r>
      <w:r w:rsidRPr="00F523D3">
        <w:rPr>
          <w:rFonts w:ascii="Verdana" w:eastAsia="SimSun" w:hAnsi="Verdana" w:cstheme="minorHAnsi"/>
          <w:bCs/>
          <w:color w:val="000000" w:themeColor="text1"/>
          <w:lang w:val="el-GR"/>
        </w:rPr>
        <w:lastRenderedPageBreak/>
        <w:t xml:space="preserve">στόχους για το 2030 και το 2050 σύμφωνα με το παράρτημα 1 τμήμα 4.30 του κατ’ εξουσιοδότηση κανονισμού (ΕΕ) 2021/2139. </w:t>
      </w:r>
    </w:p>
    <w:p w:rsidR="00F523D3" w:rsidRPr="00F523D3" w:rsidRDefault="00F523D3" w:rsidP="00F92370">
      <w:pPr>
        <w:spacing w:line="360" w:lineRule="auto"/>
        <w:jc w:val="both"/>
        <w:rPr>
          <w:rFonts w:ascii="Verdana" w:eastAsia="SimSun" w:hAnsi="Verdana" w:cstheme="minorHAnsi"/>
          <w:bCs/>
          <w:color w:val="000000" w:themeColor="text1"/>
          <w:lang w:val="el-GR"/>
        </w:rPr>
      </w:pPr>
      <w:r w:rsidRPr="00F523D3">
        <w:rPr>
          <w:rFonts w:ascii="Verdana" w:eastAsia="SimSun" w:hAnsi="Verdana" w:cstheme="minorHAnsi"/>
          <w:bCs/>
          <w:color w:val="000000" w:themeColor="text1"/>
          <w:lang w:val="el-GR"/>
        </w:rPr>
        <w:t xml:space="preserve">Ενισχύσεις για αναβαθμίσεις δικτύων αποθήκευσης και διανομής που μεταφέρουν θέρμανση και ψύξη παραγόμενες με χρήση ορυκτών καυσίμων μπορούν να χορηγούνται μόνον εφόσον πληρούνται όλες οι ακόλουθες προϋποθέσεις: </w:t>
      </w:r>
    </w:p>
    <w:p w:rsidR="00F523D3" w:rsidRPr="00F523D3" w:rsidRDefault="00F523D3" w:rsidP="00F92370">
      <w:pPr>
        <w:spacing w:line="360" w:lineRule="auto"/>
        <w:ind w:left="284" w:hanging="284"/>
        <w:jc w:val="both"/>
        <w:rPr>
          <w:rFonts w:ascii="Verdana" w:eastAsia="SimSun" w:hAnsi="Verdana" w:cstheme="minorHAnsi"/>
          <w:bCs/>
          <w:color w:val="000000" w:themeColor="text1"/>
          <w:lang w:val="el-GR"/>
        </w:rPr>
      </w:pPr>
      <w:r w:rsidRPr="00F523D3">
        <w:rPr>
          <w:rFonts w:ascii="Verdana" w:eastAsia="SimSun" w:hAnsi="Verdana" w:cstheme="minorHAnsi"/>
          <w:bCs/>
          <w:color w:val="000000" w:themeColor="text1"/>
          <w:lang w:val="el-GR"/>
        </w:rPr>
        <w:t xml:space="preserve">α) το δίκτυο διανομής είναι ή καθίσταται κατάλληλο για τη μεταφορά θέρμανσης ή ψύξης που παράγεται από ανανεώσιμες πηγές ενέργειας και/ή </w:t>
      </w:r>
      <w:proofErr w:type="spellStart"/>
      <w:r w:rsidRPr="00F523D3">
        <w:rPr>
          <w:rFonts w:ascii="Verdana" w:eastAsia="SimSun" w:hAnsi="Verdana" w:cstheme="minorHAnsi"/>
          <w:bCs/>
          <w:color w:val="000000" w:themeColor="text1"/>
          <w:lang w:val="el-GR"/>
        </w:rPr>
        <w:t>απορριπτόμενης</w:t>
      </w:r>
      <w:proofErr w:type="spellEnd"/>
      <w:r w:rsidRPr="00F523D3">
        <w:rPr>
          <w:rFonts w:ascii="Verdana" w:eastAsia="SimSun" w:hAnsi="Verdana" w:cstheme="minorHAnsi"/>
          <w:bCs/>
          <w:color w:val="000000" w:themeColor="text1"/>
          <w:lang w:val="el-GR"/>
        </w:rPr>
        <w:t xml:space="preserve"> θερμότητας· </w:t>
      </w:r>
    </w:p>
    <w:p w:rsidR="00F523D3" w:rsidRPr="00F523D3" w:rsidRDefault="00F523D3" w:rsidP="00F92370">
      <w:pPr>
        <w:spacing w:line="360" w:lineRule="auto"/>
        <w:ind w:left="284" w:hanging="284"/>
        <w:jc w:val="both"/>
        <w:rPr>
          <w:rFonts w:ascii="Verdana" w:eastAsia="SimSun" w:hAnsi="Verdana" w:cstheme="minorHAnsi"/>
          <w:bCs/>
          <w:color w:val="000000" w:themeColor="text1"/>
          <w:lang w:val="el-GR"/>
        </w:rPr>
      </w:pPr>
      <w:r w:rsidRPr="00F523D3">
        <w:rPr>
          <w:rFonts w:ascii="Verdana" w:eastAsia="SimSun" w:hAnsi="Verdana" w:cstheme="minorHAnsi"/>
          <w:bCs/>
          <w:color w:val="000000" w:themeColor="text1"/>
          <w:lang w:val="el-GR"/>
        </w:rPr>
        <w:t>β) η αναβάθμιση δεν οδηγεί σε αύξηση της παραγωγής ενέργειας από ορυκτά καύσιμα, με εξαίρεση το φυσικό αέριο. Σε περίπτωση αναβάθμισης του συστήματος αποθήκευσης ή του δικτύου διανομής θέρμανσης και ψύξης που παράγεται από φυσικό αέριο, στον βαθμό που η αναβάθμιση έχει ως αποτέλεσμα την αύξηση της παραγωγής ενέργειας από φυσικό αέριο, αυτές οι εγκαταστάσεις παραγωγής πρέπει να συμμορφώνονται με τους κλιματικούς στόχους για το 2030 και το 2050, σύμφωνα με το παράρτημα 1 τμήμα 4.31 του κατ’ εξουσιοδότηση κανονισμού (ΕΕ) 2021/2139.</w:t>
      </w:r>
    </w:p>
    <w:p w:rsidR="00C93030" w:rsidRPr="00F92370" w:rsidRDefault="00F92370" w:rsidP="00AB0E24">
      <w:pPr>
        <w:spacing w:line="360" w:lineRule="auto"/>
        <w:jc w:val="both"/>
        <w:rPr>
          <w:rFonts w:ascii="Verdana" w:eastAsia="SimSun" w:hAnsi="Verdana" w:cstheme="minorHAnsi"/>
          <w:bCs/>
          <w:color w:val="000000" w:themeColor="text1"/>
          <w:lang w:val="el-GR"/>
        </w:rPr>
      </w:pPr>
      <w:r>
        <w:rPr>
          <w:rFonts w:ascii="Verdana" w:eastAsia="SimSun" w:hAnsi="Verdana" w:cstheme="minorHAnsi"/>
          <w:bCs/>
          <w:color w:val="000000" w:themeColor="text1"/>
          <w:lang w:val="el-GR"/>
        </w:rPr>
        <w:t>Η</w:t>
      </w:r>
      <w:r w:rsidRPr="00F92370">
        <w:rPr>
          <w:rFonts w:ascii="Verdana" w:eastAsia="SimSun" w:hAnsi="Verdana" w:cstheme="minorHAnsi"/>
          <w:bCs/>
          <w:color w:val="000000" w:themeColor="text1"/>
          <w:lang w:val="el-GR"/>
        </w:rPr>
        <w:t xml:space="preserve"> ένταση της ενίσχυσης των δαπανών ορίζεται σε ποσοστό τριάντα τοις εκατό (30%) αυτών. Η ένταση της ενίσχυσης μπορεί να αυξάνεται κατά δεκαπέντε (15) εκατοστιαίες μονάδες για επενδύσεις που χρησιμοποιούν μόνο ανανεώσιμες πηγές ενέργειας, </w:t>
      </w:r>
      <w:proofErr w:type="spellStart"/>
      <w:r w:rsidRPr="00F92370">
        <w:rPr>
          <w:rFonts w:ascii="Verdana" w:eastAsia="SimSun" w:hAnsi="Verdana" w:cstheme="minorHAnsi"/>
          <w:bCs/>
          <w:color w:val="000000" w:themeColor="text1"/>
          <w:lang w:val="el-GR"/>
        </w:rPr>
        <w:t>απορριπτόμενη</w:t>
      </w:r>
      <w:proofErr w:type="spellEnd"/>
      <w:r w:rsidRPr="00F92370">
        <w:rPr>
          <w:rFonts w:ascii="Verdana" w:eastAsia="SimSun" w:hAnsi="Verdana" w:cstheme="minorHAnsi"/>
          <w:bCs/>
          <w:color w:val="000000" w:themeColor="text1"/>
          <w:lang w:val="el-GR"/>
        </w:rPr>
        <w:t xml:space="preserve"> θερμότητα ή συνδυασμό των δύο, συμπεριλαμβανομένης της συμπαραγωγής από ανανεώσιμες πηγές ενέργειας.</w:t>
      </w:r>
    </w:p>
    <w:p w:rsidR="00F92370" w:rsidRDefault="00F92370" w:rsidP="00AB0E24">
      <w:pPr>
        <w:spacing w:line="360" w:lineRule="auto"/>
        <w:jc w:val="both"/>
        <w:rPr>
          <w:rFonts w:ascii="Verdana" w:eastAsia="SimSun" w:hAnsi="Verdana" w:cstheme="minorHAnsi"/>
          <w:b/>
          <w:bCs/>
          <w:color w:val="000000" w:themeColor="text1"/>
          <w:lang w:val="el-GR"/>
        </w:rPr>
      </w:pPr>
    </w:p>
    <w:p w:rsidR="002029EA" w:rsidRDefault="002029EA" w:rsidP="00AB0E24">
      <w:pPr>
        <w:spacing w:line="360" w:lineRule="auto"/>
        <w:jc w:val="both"/>
        <w:rPr>
          <w:rFonts w:ascii="Verdana" w:eastAsia="SimSun" w:hAnsi="Verdana" w:cstheme="minorHAnsi"/>
          <w:b/>
          <w:bCs/>
          <w:color w:val="000000" w:themeColor="text1"/>
          <w:lang w:val="el-GR"/>
        </w:rPr>
      </w:pPr>
    </w:p>
    <w:p w:rsidR="00AB0E24" w:rsidRDefault="0063528B" w:rsidP="00997FEC">
      <w:pPr>
        <w:keepNext/>
        <w:spacing w:line="360" w:lineRule="auto"/>
        <w:jc w:val="both"/>
        <w:rPr>
          <w:rFonts w:ascii="Verdana" w:eastAsia="SimSun" w:hAnsi="Verdana" w:cstheme="minorHAnsi"/>
          <w:b/>
          <w:bCs/>
          <w:color w:val="000000" w:themeColor="text1"/>
          <w:lang w:val="el-GR"/>
        </w:rPr>
      </w:pPr>
      <w:r>
        <w:rPr>
          <w:rFonts w:ascii="Verdana" w:eastAsia="SimSun" w:hAnsi="Verdana" w:cstheme="minorHAnsi"/>
          <w:b/>
          <w:bCs/>
          <w:color w:val="000000" w:themeColor="text1"/>
          <w:lang w:val="el-GR"/>
        </w:rPr>
        <w:t>4</w:t>
      </w:r>
      <w:r w:rsidR="00AB0E24">
        <w:rPr>
          <w:rFonts w:ascii="Verdana" w:eastAsia="SimSun" w:hAnsi="Verdana" w:cstheme="minorHAnsi"/>
          <w:b/>
          <w:bCs/>
          <w:color w:val="000000" w:themeColor="text1"/>
          <w:lang w:val="el-GR"/>
        </w:rPr>
        <w:t>.</w:t>
      </w:r>
      <w:r w:rsidR="00C77FCB" w:rsidRPr="00C77FCB">
        <w:rPr>
          <w:rFonts w:ascii="Verdana" w:hAnsi="Verdana" w:cstheme="minorHAnsi"/>
          <w:b/>
          <w:lang w:val="el-GR"/>
        </w:rPr>
        <w:t xml:space="preserve"> </w:t>
      </w:r>
      <w:r w:rsidR="00C77FCB">
        <w:rPr>
          <w:rFonts w:ascii="Verdana" w:hAnsi="Verdana" w:cstheme="minorHAnsi"/>
          <w:b/>
          <w:lang w:val="el-GR"/>
        </w:rPr>
        <w:t>Επενδυτικές</w:t>
      </w:r>
      <w:r w:rsidR="00C77FCB">
        <w:rPr>
          <w:rFonts w:ascii="Verdana" w:eastAsia="SimSun" w:hAnsi="Verdana" w:cstheme="minorHAnsi"/>
          <w:b/>
          <w:bCs/>
          <w:color w:val="000000" w:themeColor="text1"/>
          <w:lang w:val="el-GR"/>
        </w:rPr>
        <w:t xml:space="preserve"> δαπάνες </w:t>
      </w:r>
      <w:r w:rsidR="00AB0E24">
        <w:rPr>
          <w:rFonts w:ascii="Verdana" w:eastAsia="SimSun" w:hAnsi="Verdana" w:cstheme="minorHAnsi"/>
          <w:b/>
          <w:bCs/>
          <w:color w:val="000000" w:themeColor="text1"/>
          <w:lang w:val="el-GR"/>
        </w:rPr>
        <w:t xml:space="preserve">για συμμετοχή </w:t>
      </w:r>
      <w:proofErr w:type="spellStart"/>
      <w:r w:rsidR="00AB0E24">
        <w:rPr>
          <w:rFonts w:ascii="Verdana" w:eastAsia="SimSun" w:hAnsi="Verdana" w:cstheme="minorHAnsi"/>
          <w:b/>
          <w:bCs/>
          <w:color w:val="000000" w:themeColor="text1"/>
          <w:lang w:val="el-GR"/>
        </w:rPr>
        <w:t>Μμ</w:t>
      </w:r>
      <w:r w:rsidR="00C77FCB">
        <w:rPr>
          <w:rFonts w:ascii="Verdana" w:eastAsia="SimSun" w:hAnsi="Verdana" w:cstheme="minorHAnsi"/>
          <w:b/>
          <w:bCs/>
          <w:color w:val="000000" w:themeColor="text1"/>
          <w:lang w:val="el-GR"/>
        </w:rPr>
        <w:t>Ε</w:t>
      </w:r>
      <w:proofErr w:type="spellEnd"/>
      <w:r w:rsidR="00C77FCB">
        <w:rPr>
          <w:rFonts w:ascii="Verdana" w:eastAsia="SimSun" w:hAnsi="Verdana" w:cstheme="minorHAnsi"/>
          <w:b/>
          <w:bCs/>
          <w:color w:val="000000" w:themeColor="text1"/>
          <w:lang w:val="el-GR"/>
        </w:rPr>
        <w:t xml:space="preserve"> σε εμπορικές εκθέσεις (άρθρο 19 ΓΑΚ)</w:t>
      </w:r>
      <w:r w:rsidR="00AB0E24">
        <w:rPr>
          <w:rFonts w:ascii="Verdana" w:eastAsia="SimSun" w:hAnsi="Verdana" w:cstheme="minorHAnsi"/>
          <w:b/>
          <w:bCs/>
          <w:color w:val="000000" w:themeColor="text1"/>
          <w:lang w:val="el-GR"/>
        </w:rPr>
        <w:t xml:space="preserve"> </w:t>
      </w:r>
    </w:p>
    <w:p w:rsidR="00997FEC" w:rsidRDefault="00997FEC" w:rsidP="00997FEC">
      <w:pPr>
        <w:keepNext/>
        <w:spacing w:line="360" w:lineRule="auto"/>
        <w:jc w:val="both"/>
        <w:rPr>
          <w:rFonts w:ascii="Verdana" w:hAnsi="Verdana" w:cstheme="minorHAnsi"/>
          <w:lang w:val="el-GR"/>
        </w:rPr>
      </w:pP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Οι δαπάνες αυτές ορίζονται στην παράγραφο 14 του Παραρτήματος Β του νόμου 4887/2022 και στο άρθρο 19 του Γ.Α.Κ. και επιλέξιμες</w:t>
      </w:r>
      <w:r>
        <w:rPr>
          <w:rFonts w:ascii="Verdana" w:eastAsia="SimSun" w:hAnsi="Verdana" w:cstheme="minorHAnsi"/>
          <w:bCs/>
          <w:color w:val="000000" w:themeColor="text1"/>
          <w:lang w:val="el-GR"/>
        </w:rPr>
        <w:t xml:space="preserve"> </w:t>
      </w:r>
      <w:r>
        <w:rPr>
          <w:rFonts w:ascii="Verdana" w:hAnsi="Verdana" w:cstheme="minorHAnsi"/>
          <w:lang w:val="el-GR"/>
        </w:rPr>
        <w:t xml:space="preserve">είναι οι δαπάνες μίσθωσης, εγκατάστασης και διαχείρισης περιπτέρου για τη συμμετοχή μίας επιχείρησης σε οποιαδήποτε εμπορική έκθεση ή επαγγελματική έκθεση του εσωτερικού ή του εξωτερικού. </w:t>
      </w: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Επιλέξιμες είναι οι δαπάνες μίσθωσης, εγκατάστασης και διαχείρισης περιπτέρου για τη συμμετοχή μίας επιχείρησης σε οποιαδήποτε εμπορική έκθεση.</w:t>
      </w: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Οι δαπάνες είναι επιλέξιμες μόνο στην περίπτωση δικαιούχων που χαρακτηρίζονται ως ΜΜΕ και υπό την προϋπόθεση ότι η συμμετοχή στην έκθεση σχετίζεται άμεσα με το φυσικό αντικείμενο του επενδυτικού σχεδίου.</w:t>
      </w:r>
    </w:p>
    <w:p w:rsidR="00AB0E24" w:rsidRDefault="00AB0E24" w:rsidP="00AB0E24">
      <w:pPr>
        <w:spacing w:line="360" w:lineRule="auto"/>
        <w:jc w:val="both"/>
        <w:rPr>
          <w:rFonts w:ascii="Verdana" w:hAnsi="Verdana" w:cstheme="minorHAnsi"/>
          <w:lang w:val="el-GR"/>
        </w:rPr>
      </w:pPr>
      <w:r w:rsidRPr="00CA2F82">
        <w:rPr>
          <w:rFonts w:ascii="Verdana" w:hAnsi="Verdana" w:cstheme="minorHAnsi"/>
          <w:lang w:val="el-GR"/>
        </w:rPr>
        <w:t>Η περιγραφή καθώς και το κόστος θα πρέπει να τεκμηριώνεται με αντίστοιχο πλάνο συμμετοχής σε εκθέσεις και σχετικές προσφορές ή απόδειξη του εύλογου κόστους κατά την υποβολή της πρότασης.</w:t>
      </w:r>
    </w:p>
    <w:p w:rsidR="00AB0E24" w:rsidRDefault="00766326" w:rsidP="00AB0E24">
      <w:pPr>
        <w:spacing w:line="360" w:lineRule="auto"/>
        <w:jc w:val="both"/>
        <w:rPr>
          <w:rFonts w:ascii="Verdana" w:hAnsi="Verdana" w:cstheme="minorHAnsi"/>
          <w:lang w:val="el-GR"/>
        </w:rPr>
      </w:pPr>
      <w:r>
        <w:rPr>
          <w:rFonts w:ascii="Verdana" w:hAnsi="Verdana" w:cstheme="minorHAnsi"/>
          <w:lang w:val="el-GR"/>
        </w:rPr>
        <w:t>Η</w:t>
      </w:r>
      <w:r w:rsidRPr="00766326">
        <w:rPr>
          <w:rFonts w:ascii="Verdana" w:hAnsi="Verdana" w:cstheme="minorHAnsi"/>
          <w:lang w:val="el-GR"/>
        </w:rPr>
        <w:t xml:space="preserve"> ένταση της ενίσχυσης δεν υπερβαίνει το πενήντα τοις εκατό (50%) των επιλέξιμων δαπανών και οι δαπάνες  ενισχύονται μέχρι ποσοστού πέντε τοις εκατό (5%) επί του συνολικού ενισχυόμενου κόστους περιφερειακών ενισχύσεων και έως του ποσού των </w:t>
      </w:r>
      <w:proofErr w:type="spellStart"/>
      <w:r w:rsidRPr="00766326">
        <w:rPr>
          <w:rFonts w:ascii="Verdana" w:hAnsi="Verdana" w:cstheme="minorHAnsi"/>
          <w:lang w:val="el-GR"/>
        </w:rPr>
        <w:t>εκατόν</w:t>
      </w:r>
      <w:proofErr w:type="spellEnd"/>
      <w:r w:rsidRPr="00766326">
        <w:rPr>
          <w:rFonts w:ascii="Verdana" w:hAnsi="Verdana" w:cstheme="minorHAnsi"/>
          <w:lang w:val="el-GR"/>
        </w:rPr>
        <w:t xml:space="preserve"> πενήντα  χιλιάδων (150.000) ευρώ.</w:t>
      </w:r>
    </w:p>
    <w:p w:rsidR="00AB0E24" w:rsidRDefault="00AB0E24" w:rsidP="00AB0E24">
      <w:pPr>
        <w:spacing w:line="360" w:lineRule="auto"/>
        <w:jc w:val="both"/>
        <w:rPr>
          <w:rFonts w:ascii="Verdana" w:hAnsi="Verdana" w:cstheme="minorHAnsi"/>
          <w:lang w:val="el-GR"/>
        </w:rPr>
      </w:pPr>
    </w:p>
    <w:p w:rsidR="00AB0E24" w:rsidRPr="00411D6C" w:rsidRDefault="0063528B" w:rsidP="00997FEC">
      <w:pPr>
        <w:keepNext/>
        <w:spacing w:line="360" w:lineRule="auto"/>
        <w:jc w:val="both"/>
        <w:rPr>
          <w:rFonts w:ascii="Verdana" w:eastAsia="SimSun" w:hAnsi="Verdana" w:cstheme="minorHAnsi"/>
          <w:b/>
          <w:bCs/>
          <w:color w:val="000000" w:themeColor="text1"/>
          <w:lang w:val="el-GR"/>
        </w:rPr>
      </w:pPr>
      <w:r>
        <w:rPr>
          <w:rFonts w:ascii="Verdana" w:eastAsia="SimSun" w:hAnsi="Verdana" w:cstheme="minorHAnsi"/>
          <w:b/>
          <w:bCs/>
          <w:color w:val="000000" w:themeColor="text1"/>
          <w:lang w:val="el-GR"/>
        </w:rPr>
        <w:lastRenderedPageBreak/>
        <w:t>5</w:t>
      </w:r>
      <w:r w:rsidR="00AB0E24" w:rsidRPr="00411D6C">
        <w:rPr>
          <w:rFonts w:ascii="Verdana" w:eastAsia="SimSun" w:hAnsi="Verdana" w:cstheme="minorHAnsi"/>
          <w:b/>
          <w:bCs/>
          <w:color w:val="000000" w:themeColor="text1"/>
          <w:lang w:val="el-GR"/>
        </w:rPr>
        <w:t xml:space="preserve">. </w:t>
      </w:r>
      <w:r w:rsidR="00411D6C">
        <w:rPr>
          <w:rFonts w:ascii="Verdana" w:eastAsia="SimSun" w:hAnsi="Verdana" w:cstheme="minorHAnsi"/>
          <w:b/>
          <w:bCs/>
          <w:color w:val="000000" w:themeColor="text1"/>
          <w:lang w:val="el-GR"/>
        </w:rPr>
        <w:t>Επενδυτικές δ</w:t>
      </w:r>
      <w:r w:rsidR="00AB0E24" w:rsidRPr="00411D6C">
        <w:rPr>
          <w:rFonts w:ascii="Verdana" w:eastAsia="SimSun" w:hAnsi="Verdana" w:cstheme="minorHAnsi"/>
          <w:b/>
          <w:bCs/>
          <w:color w:val="000000" w:themeColor="text1"/>
          <w:lang w:val="el-GR"/>
        </w:rPr>
        <w:t xml:space="preserve">απάνες για επενδυτικές ενισχύσεις προς ΜΜΕ. </w:t>
      </w:r>
    </w:p>
    <w:p w:rsidR="00997FEC" w:rsidRDefault="00997FEC" w:rsidP="00997FEC">
      <w:pPr>
        <w:keepNext/>
        <w:spacing w:line="360" w:lineRule="auto"/>
        <w:jc w:val="both"/>
        <w:rPr>
          <w:rFonts w:ascii="Verdana" w:hAnsi="Verdana" w:cstheme="minorHAnsi"/>
          <w:lang w:val="el-GR"/>
        </w:rPr>
      </w:pP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 xml:space="preserve">Οι δαπάνες αυτές ορίζονται στο άρθρο 17 του Γ.Α.Κ. και επιλέξιμες είναι οι δαπάνες σε ενσώματα και άυλα στοιχεία ενεργητικού. </w:t>
      </w:r>
    </w:p>
    <w:p w:rsidR="00AB0E24" w:rsidRDefault="00AB0E24" w:rsidP="00AB0E24">
      <w:pPr>
        <w:spacing w:line="360" w:lineRule="auto"/>
        <w:jc w:val="both"/>
        <w:rPr>
          <w:rFonts w:ascii="Verdana" w:eastAsia="SimSun" w:hAnsi="Verdana" w:cstheme="minorHAnsi"/>
          <w:bCs/>
          <w:color w:val="000000" w:themeColor="text1"/>
          <w:lang w:val="el-GR"/>
        </w:rPr>
      </w:pPr>
      <w:r>
        <w:rPr>
          <w:rFonts w:ascii="Verdana" w:eastAsia="SimSun" w:hAnsi="Verdana" w:cstheme="minorHAnsi"/>
          <w:bCs/>
          <w:color w:val="000000" w:themeColor="text1"/>
          <w:lang w:val="el-GR"/>
        </w:rPr>
        <w:t>Περιλαμβάνονται οι δαπάνες για:</w:t>
      </w:r>
    </w:p>
    <w:p w:rsidR="00AB0E24" w:rsidRDefault="00AB0E24" w:rsidP="00AB0E24">
      <w:pPr>
        <w:pStyle w:val="a4"/>
        <w:numPr>
          <w:ilvl w:val="0"/>
          <w:numId w:val="3"/>
        </w:numPr>
        <w:spacing w:after="0" w:line="360" w:lineRule="auto"/>
        <w:ind w:left="426" w:hanging="426"/>
        <w:rPr>
          <w:rFonts w:ascii="Verdana" w:hAnsi="Verdana" w:cstheme="minorHAnsi"/>
          <w:sz w:val="20"/>
          <w:szCs w:val="20"/>
          <w:lang w:val="el-GR"/>
        </w:rPr>
      </w:pPr>
      <w:r>
        <w:rPr>
          <w:rFonts w:ascii="Verdana" w:hAnsi="Verdana" w:cstheme="minorHAnsi"/>
          <w:sz w:val="20"/>
          <w:szCs w:val="20"/>
          <w:lang w:val="el-GR"/>
        </w:rPr>
        <w:t xml:space="preserve">Κτηριακές Εγκαταστάσεις (Συμβατική) </w:t>
      </w:r>
    </w:p>
    <w:p w:rsidR="00AB0E24" w:rsidRDefault="00AB0E24" w:rsidP="00AB0E24">
      <w:pPr>
        <w:pStyle w:val="a4"/>
        <w:numPr>
          <w:ilvl w:val="0"/>
          <w:numId w:val="3"/>
        </w:numPr>
        <w:spacing w:after="0" w:line="360" w:lineRule="auto"/>
        <w:ind w:left="426" w:hanging="426"/>
        <w:rPr>
          <w:rFonts w:ascii="Verdana" w:hAnsi="Verdana" w:cstheme="minorHAnsi"/>
          <w:sz w:val="20"/>
          <w:szCs w:val="20"/>
          <w:lang w:val="el-GR"/>
        </w:rPr>
      </w:pPr>
      <w:r>
        <w:rPr>
          <w:rFonts w:ascii="Verdana" w:hAnsi="Verdana" w:cstheme="minorHAnsi"/>
          <w:sz w:val="20"/>
          <w:szCs w:val="20"/>
          <w:lang w:val="el-GR"/>
        </w:rPr>
        <w:t>Έργα Διαμόρφωσης Περιβάλλοντος Χώρου (Συμβατική)</w:t>
      </w:r>
    </w:p>
    <w:p w:rsidR="00AB0E24" w:rsidRDefault="00AB0E24" w:rsidP="00AB0E24">
      <w:pPr>
        <w:pStyle w:val="a4"/>
        <w:numPr>
          <w:ilvl w:val="0"/>
          <w:numId w:val="3"/>
        </w:numPr>
        <w:spacing w:after="0" w:line="360" w:lineRule="auto"/>
        <w:ind w:left="426" w:hanging="426"/>
        <w:rPr>
          <w:rFonts w:ascii="Verdana" w:hAnsi="Verdana" w:cstheme="minorHAnsi"/>
          <w:sz w:val="20"/>
          <w:szCs w:val="20"/>
          <w:lang w:val="el-GR"/>
        </w:rPr>
      </w:pPr>
      <w:r>
        <w:rPr>
          <w:rFonts w:ascii="Verdana" w:hAnsi="Verdana" w:cstheme="minorHAnsi"/>
          <w:sz w:val="20"/>
          <w:szCs w:val="20"/>
          <w:lang w:val="el-GR"/>
        </w:rPr>
        <w:t xml:space="preserve">Μηχανολογικός Εξοπλισμός – Τεχνικές (Ειδικές) Εγκαταστάσεις(Συμβατική ή/και </w:t>
      </w:r>
      <w:proofErr w:type="spellStart"/>
      <w:r>
        <w:rPr>
          <w:rFonts w:ascii="Verdana" w:hAnsi="Verdana" w:cstheme="minorHAnsi"/>
          <w:sz w:val="20"/>
          <w:szCs w:val="20"/>
          <w:lang w:val="el-GR"/>
        </w:rPr>
        <w:t>leasing</w:t>
      </w:r>
      <w:proofErr w:type="spellEnd"/>
      <w:r>
        <w:rPr>
          <w:rFonts w:ascii="Verdana" w:hAnsi="Verdana" w:cstheme="minorHAnsi"/>
          <w:sz w:val="20"/>
          <w:szCs w:val="20"/>
          <w:lang w:val="el-GR"/>
        </w:rPr>
        <w:t>)</w:t>
      </w:r>
    </w:p>
    <w:p w:rsidR="00AB0E24" w:rsidRDefault="00AB0E24" w:rsidP="00AB0E24">
      <w:pPr>
        <w:pStyle w:val="a4"/>
        <w:numPr>
          <w:ilvl w:val="0"/>
          <w:numId w:val="3"/>
        </w:numPr>
        <w:spacing w:after="0" w:line="360" w:lineRule="auto"/>
        <w:ind w:left="426" w:hanging="426"/>
        <w:rPr>
          <w:rFonts w:ascii="Verdana" w:hAnsi="Verdana" w:cstheme="minorHAnsi"/>
          <w:sz w:val="20"/>
          <w:szCs w:val="20"/>
          <w:lang w:val="el-GR"/>
        </w:rPr>
      </w:pPr>
      <w:r>
        <w:rPr>
          <w:rFonts w:ascii="Verdana" w:hAnsi="Verdana" w:cstheme="minorHAnsi"/>
          <w:sz w:val="20"/>
          <w:szCs w:val="20"/>
          <w:lang w:val="el-GR"/>
        </w:rPr>
        <w:t xml:space="preserve">Λοιπός Εξοπλισμός (Συμβατική ή/και </w:t>
      </w:r>
      <w:proofErr w:type="spellStart"/>
      <w:r>
        <w:rPr>
          <w:rFonts w:ascii="Verdana" w:hAnsi="Verdana" w:cstheme="minorHAnsi"/>
          <w:sz w:val="20"/>
          <w:szCs w:val="20"/>
          <w:lang w:val="el-GR"/>
        </w:rPr>
        <w:t>leasing</w:t>
      </w:r>
      <w:proofErr w:type="spellEnd"/>
      <w:r>
        <w:rPr>
          <w:rFonts w:ascii="Verdana" w:hAnsi="Verdana" w:cstheme="minorHAnsi"/>
          <w:sz w:val="20"/>
          <w:szCs w:val="20"/>
          <w:lang w:val="el-GR"/>
        </w:rPr>
        <w:t>)</w:t>
      </w:r>
    </w:p>
    <w:p w:rsidR="00AB0E24" w:rsidRDefault="00AB0E24" w:rsidP="00AB0E24">
      <w:pPr>
        <w:pStyle w:val="a4"/>
        <w:numPr>
          <w:ilvl w:val="0"/>
          <w:numId w:val="3"/>
        </w:numPr>
        <w:spacing w:after="0" w:line="360" w:lineRule="auto"/>
        <w:ind w:left="426" w:hanging="426"/>
        <w:rPr>
          <w:rFonts w:ascii="Verdana" w:hAnsi="Verdana" w:cstheme="minorHAnsi"/>
          <w:sz w:val="20"/>
          <w:szCs w:val="20"/>
          <w:lang w:val="el-GR"/>
        </w:rPr>
      </w:pPr>
      <w:r>
        <w:rPr>
          <w:rFonts w:ascii="Verdana" w:hAnsi="Verdana" w:cstheme="minorHAnsi"/>
          <w:sz w:val="20"/>
          <w:szCs w:val="20"/>
          <w:lang w:val="el-GR"/>
        </w:rPr>
        <w:t>Μεταφορικά μέσα (Συμβατική)</w:t>
      </w:r>
    </w:p>
    <w:p w:rsidR="000F0602" w:rsidRDefault="000F0602" w:rsidP="00AB0E24">
      <w:pPr>
        <w:pStyle w:val="a4"/>
        <w:numPr>
          <w:ilvl w:val="0"/>
          <w:numId w:val="3"/>
        </w:numPr>
        <w:spacing w:after="0" w:line="360" w:lineRule="auto"/>
        <w:ind w:left="426" w:hanging="426"/>
        <w:jc w:val="both"/>
        <w:rPr>
          <w:rFonts w:ascii="Verdana" w:hAnsi="Verdana" w:cstheme="minorHAnsi"/>
          <w:sz w:val="20"/>
          <w:szCs w:val="20"/>
          <w:lang w:val="el-GR" w:eastAsia="el-GR"/>
        </w:rPr>
      </w:pPr>
      <w:r>
        <w:rPr>
          <w:rFonts w:ascii="Verdana" w:hAnsi="Verdana" w:cstheme="minorHAnsi"/>
          <w:sz w:val="20"/>
          <w:szCs w:val="20"/>
          <w:lang w:val="el-GR"/>
        </w:rPr>
        <w:t>Α</w:t>
      </w:r>
      <w:r w:rsidRPr="000F0602">
        <w:rPr>
          <w:rFonts w:ascii="Verdana" w:hAnsi="Verdana" w:cstheme="minorHAnsi"/>
          <w:sz w:val="20"/>
          <w:szCs w:val="20"/>
          <w:lang w:val="el-GR"/>
        </w:rPr>
        <w:t xml:space="preserve">γορά του συνόλου (για επιχειρήσεις ανεξαρτήτου μεγέθους) ή μέρους (μόνο για ΜΜΕ) των υφιστάμενων παγίων στοιχείων ενεργητικού, όπως κτίρια, μηχανήματα και λοιπός εξοπλισμός επιχειρηματικής εγκατάστασης, υπό τις εξής προϋποθέσεις, οι οποίες πρέπει να συντρέχουν </w:t>
      </w:r>
      <w:proofErr w:type="spellStart"/>
      <w:r w:rsidRPr="000F0602">
        <w:rPr>
          <w:rFonts w:ascii="Verdana" w:hAnsi="Verdana" w:cstheme="minorHAnsi"/>
          <w:sz w:val="20"/>
          <w:szCs w:val="20"/>
          <w:lang w:val="el-GR"/>
        </w:rPr>
        <w:t>σωρευτικώς</w:t>
      </w:r>
      <w:proofErr w:type="spellEnd"/>
      <w:r>
        <w:rPr>
          <w:rFonts w:ascii="Verdana" w:hAnsi="Verdana" w:cstheme="minorHAnsi"/>
          <w:sz w:val="20"/>
          <w:szCs w:val="20"/>
          <w:lang w:val="el-GR"/>
        </w:rPr>
        <w:t>:</w:t>
      </w:r>
    </w:p>
    <w:p w:rsidR="00CD2589" w:rsidRPr="00CD2589" w:rsidRDefault="00CD2589" w:rsidP="001D4356">
      <w:pPr>
        <w:spacing w:line="360" w:lineRule="auto"/>
        <w:ind w:left="1004" w:hanging="284"/>
        <w:jc w:val="both"/>
        <w:rPr>
          <w:rFonts w:ascii="Verdana" w:hAnsi="Verdana" w:cstheme="minorHAnsi"/>
          <w:color w:val="000000" w:themeColor="text1"/>
          <w:lang w:val="el-GR"/>
        </w:rPr>
      </w:pPr>
      <w:bookmarkStart w:id="0" w:name="_GoBack"/>
      <w:bookmarkEnd w:id="0"/>
      <w:r w:rsidRPr="00CD2589">
        <w:rPr>
          <w:rFonts w:ascii="Verdana" w:hAnsi="Verdana" w:cstheme="minorHAnsi"/>
          <w:color w:val="000000" w:themeColor="text1"/>
          <w:lang w:val="el-GR"/>
        </w:rPr>
        <w:t>i.</w:t>
      </w:r>
      <w:r w:rsidRPr="00CD2589">
        <w:rPr>
          <w:rFonts w:ascii="Verdana" w:hAnsi="Verdana" w:cstheme="minorHAnsi"/>
          <w:color w:val="000000" w:themeColor="text1"/>
          <w:lang w:val="el-GR"/>
        </w:rPr>
        <w:tab/>
        <w:t xml:space="preserve">η επιχειρηματική εγκατάσταση έχει </w:t>
      </w:r>
      <w:r w:rsidRPr="00CA2F82">
        <w:rPr>
          <w:rFonts w:ascii="Verdana" w:hAnsi="Verdana" w:cstheme="minorHAnsi"/>
          <w:color w:val="000000" w:themeColor="text1"/>
          <w:lang w:val="el-GR"/>
        </w:rPr>
        <w:t>κλείσει (έχει παύσει την λειτουργία της),</w:t>
      </w:r>
    </w:p>
    <w:p w:rsidR="00CD2589" w:rsidRPr="00CD2589" w:rsidRDefault="00CD2589" w:rsidP="001D4356">
      <w:pPr>
        <w:spacing w:line="360" w:lineRule="auto"/>
        <w:ind w:left="1004" w:hanging="284"/>
        <w:jc w:val="both"/>
        <w:rPr>
          <w:rFonts w:ascii="Verdana" w:hAnsi="Verdana" w:cstheme="minorHAnsi"/>
          <w:color w:val="000000" w:themeColor="text1"/>
          <w:lang w:val="el-GR"/>
        </w:rPr>
      </w:pPr>
      <w:proofErr w:type="spellStart"/>
      <w:r w:rsidRPr="00CD2589">
        <w:rPr>
          <w:rFonts w:ascii="Verdana" w:hAnsi="Verdana" w:cstheme="minorHAnsi"/>
          <w:color w:val="000000" w:themeColor="text1"/>
          <w:lang w:val="el-GR"/>
        </w:rPr>
        <w:t>ii</w:t>
      </w:r>
      <w:proofErr w:type="spellEnd"/>
      <w:r w:rsidRPr="00CD2589">
        <w:rPr>
          <w:rFonts w:ascii="Verdana" w:hAnsi="Verdana" w:cstheme="minorHAnsi"/>
          <w:color w:val="000000" w:themeColor="text1"/>
          <w:lang w:val="el-GR"/>
        </w:rPr>
        <w:t>.</w:t>
      </w:r>
      <w:r w:rsidRPr="00CD2589">
        <w:rPr>
          <w:rFonts w:ascii="Verdana" w:hAnsi="Verdana" w:cstheme="minorHAnsi"/>
          <w:color w:val="000000" w:themeColor="text1"/>
          <w:lang w:val="el-GR"/>
        </w:rPr>
        <w:tab/>
        <w:t xml:space="preserve">η αγορά πραγματοποιείται από τον φορέα του επενδυτικού σχεδίου, ο οποίος δεν σχετίζεται με τον πωλητή της επιχειρηματικής εγκατάστασης της περ. i εκτός εάν πρόκειται για μικρή επιχείρηση, η οποία αποκτάται από υπάλληλο του αρχικού ιδιοκτήτη, </w:t>
      </w:r>
    </w:p>
    <w:p w:rsidR="00CD2589" w:rsidRPr="00CD2589" w:rsidRDefault="00CD2589" w:rsidP="001D4356">
      <w:pPr>
        <w:spacing w:line="360" w:lineRule="auto"/>
        <w:ind w:left="1004" w:hanging="284"/>
        <w:jc w:val="both"/>
        <w:rPr>
          <w:rFonts w:ascii="Verdana" w:hAnsi="Verdana" w:cstheme="minorHAnsi"/>
          <w:color w:val="000000" w:themeColor="text1"/>
          <w:lang w:val="el-GR"/>
        </w:rPr>
      </w:pPr>
      <w:r w:rsidRPr="00CD2589">
        <w:rPr>
          <w:rFonts w:ascii="Verdana" w:hAnsi="Verdana" w:cstheme="minorHAnsi"/>
          <w:color w:val="000000" w:themeColor="text1"/>
          <w:lang w:val="el-GR"/>
        </w:rPr>
        <w:t xml:space="preserve"> </w:t>
      </w:r>
      <w:r>
        <w:rPr>
          <w:rFonts w:ascii="Verdana" w:hAnsi="Verdana" w:cstheme="minorHAnsi"/>
          <w:color w:val="000000" w:themeColor="text1"/>
          <w:lang w:val="el-GR"/>
        </w:rPr>
        <w:tab/>
      </w:r>
      <w:r w:rsidRPr="00CD2589">
        <w:rPr>
          <w:rFonts w:ascii="Verdana" w:hAnsi="Verdana" w:cstheme="minorHAnsi"/>
          <w:color w:val="000000" w:themeColor="text1"/>
          <w:lang w:val="el-GR"/>
        </w:rPr>
        <w:t>Ωστόσο, σε περίπτωση που ένα μέλος της οικογένειας ή ένας ή περισσότεροι υπάλληλοι του αρχικού ιδιοκτήτη αναλαμβάνουν μια μικρή επιχείρηση, δεν ισχύει ο όρος ότι τα στοιχεία ενεργητικού πρέπει να αγοράζονται από τρίτους που δεν σχετίζονται με τον αγοραστή.</w:t>
      </w:r>
    </w:p>
    <w:p w:rsidR="00CD2589" w:rsidRPr="00CD2589" w:rsidRDefault="00CD2589" w:rsidP="001D4356">
      <w:pPr>
        <w:spacing w:line="360" w:lineRule="auto"/>
        <w:ind w:left="1004" w:hanging="284"/>
        <w:jc w:val="both"/>
        <w:rPr>
          <w:rFonts w:ascii="Verdana" w:hAnsi="Verdana" w:cstheme="minorHAnsi"/>
          <w:lang w:val="el-GR"/>
        </w:rPr>
      </w:pPr>
      <w:r>
        <w:rPr>
          <w:rFonts w:ascii="Verdana" w:hAnsi="Verdana" w:cstheme="minorHAnsi"/>
          <w:color w:val="000000" w:themeColor="text1"/>
        </w:rPr>
        <w:t>ii</w:t>
      </w:r>
      <w:r w:rsidRPr="00CD2589">
        <w:rPr>
          <w:rFonts w:ascii="Verdana" w:hAnsi="Verdana" w:cstheme="minorHAnsi"/>
          <w:color w:val="000000" w:themeColor="text1"/>
          <w:lang w:val="el-GR"/>
        </w:rPr>
        <w:t>i.</w:t>
      </w:r>
      <w:r w:rsidRPr="00CD2589">
        <w:rPr>
          <w:rFonts w:ascii="Verdana" w:hAnsi="Verdana" w:cstheme="minorHAnsi"/>
          <w:color w:val="000000" w:themeColor="text1"/>
          <w:lang w:val="el-GR"/>
        </w:rPr>
        <w:tab/>
      </w:r>
      <w:proofErr w:type="gramStart"/>
      <w:r w:rsidRPr="00CD2589">
        <w:rPr>
          <w:rFonts w:ascii="Verdana" w:hAnsi="Verdana" w:cstheme="minorHAnsi"/>
          <w:color w:val="000000" w:themeColor="text1"/>
          <w:lang w:val="el-GR"/>
        </w:rPr>
        <w:t>η</w:t>
      </w:r>
      <w:proofErr w:type="gramEnd"/>
      <w:r w:rsidRPr="00CD2589">
        <w:rPr>
          <w:rFonts w:ascii="Verdana" w:hAnsi="Verdana" w:cstheme="minorHAnsi"/>
          <w:color w:val="000000" w:themeColor="text1"/>
          <w:lang w:val="el-GR"/>
        </w:rPr>
        <w:t xml:space="preserve"> σχετική συναλλαγή πραγματοποιείται υπό τους συνήθεις όρους της αγοράς. Από τις εν λόγω επιλέξιμες δαπάνες αφαιρείται το κόστος στοιχείων του ενεργητικού, τα οποία έχουν στο παρελθόν επιχορηγηθεί ή επιδοτηθεί μέσω αναπτυξιακών νόμων ή άλλων καθεστώτων ενισχύσεων πριν από την αγορά τους,</w:t>
      </w:r>
    </w:p>
    <w:p w:rsidR="00AB0E24" w:rsidRDefault="00AB0E24" w:rsidP="00CD2589">
      <w:pPr>
        <w:pStyle w:val="a4"/>
        <w:numPr>
          <w:ilvl w:val="0"/>
          <w:numId w:val="3"/>
        </w:numPr>
        <w:spacing w:after="0" w:line="360" w:lineRule="auto"/>
        <w:ind w:left="426" w:hanging="284"/>
        <w:rPr>
          <w:rFonts w:ascii="Verdana" w:hAnsi="Verdana" w:cstheme="minorHAnsi"/>
          <w:sz w:val="20"/>
          <w:szCs w:val="20"/>
          <w:lang w:val="el-GR"/>
        </w:rPr>
      </w:pPr>
      <w:r>
        <w:rPr>
          <w:rFonts w:ascii="Verdana" w:hAnsi="Verdana" w:cstheme="minorHAnsi"/>
          <w:sz w:val="20"/>
          <w:szCs w:val="20"/>
          <w:lang w:val="el-GR"/>
        </w:rPr>
        <w:t>Άυλα στοιχεία ενεργητικού  (Συμβατική)</w:t>
      </w:r>
    </w:p>
    <w:p w:rsidR="00AB0E24" w:rsidRDefault="00AB0E24" w:rsidP="00AB0E24">
      <w:pPr>
        <w:spacing w:line="360" w:lineRule="auto"/>
        <w:jc w:val="both"/>
        <w:rPr>
          <w:rFonts w:ascii="Verdana" w:hAnsi="Verdana" w:cstheme="minorHAnsi"/>
          <w:lang w:val="el-GR"/>
        </w:rPr>
      </w:pPr>
    </w:p>
    <w:p w:rsidR="00AB0E24" w:rsidRDefault="00AB0E24" w:rsidP="00AB0E24">
      <w:pPr>
        <w:spacing w:line="360" w:lineRule="auto"/>
        <w:jc w:val="both"/>
        <w:rPr>
          <w:rFonts w:ascii="Verdana" w:hAnsi="Verdana" w:cstheme="minorHAnsi"/>
          <w:lang w:val="el-GR"/>
        </w:rPr>
      </w:pPr>
      <w:r>
        <w:rPr>
          <w:rFonts w:ascii="Verdana" w:hAnsi="Verdana" w:cstheme="minorHAnsi"/>
          <w:lang w:val="el-GR"/>
        </w:rPr>
        <w:t>Προκειμένου να θεωρηθεί ότι αποτελεί επιλέξιμη δαπάνη μια επένδυση πρέπει να συνίσταται σε επένδυση σε ενσώματα και/ή άυλα στοιχεία ενεργητικού σε σχέση με τη δημιουργία νέας επιχειρηματικής εγκατάστασης, την επέκταση υφιστάμενης επιχειρηματικής εγκατάστασης, τη διαφοροποίηση της παραγωγής μιας επιχειρηματικής εγκατάστασης με νέα επιπρόσθετα προϊόντα ή τη θεμελιώδη αλλαγή του συνόλου της παραγωγικής διαδικασίας υφιστάμενης επιχειρηματικής εγκατάστασης.</w:t>
      </w:r>
    </w:p>
    <w:p w:rsidR="00460F61" w:rsidRPr="00CD2589" w:rsidRDefault="00CD2589" w:rsidP="00CD2589">
      <w:pPr>
        <w:spacing w:line="360" w:lineRule="auto"/>
        <w:jc w:val="both"/>
        <w:rPr>
          <w:rFonts w:ascii="Verdana" w:hAnsi="Verdana" w:cstheme="minorHAnsi"/>
          <w:lang w:val="el-GR"/>
        </w:rPr>
      </w:pPr>
      <w:r>
        <w:rPr>
          <w:rFonts w:ascii="Verdana" w:hAnsi="Verdana" w:cstheme="minorHAnsi"/>
        </w:rPr>
        <w:t>H</w:t>
      </w:r>
      <w:r w:rsidRPr="00CD2589">
        <w:rPr>
          <w:rFonts w:ascii="Verdana" w:hAnsi="Verdana" w:cstheme="minorHAnsi"/>
          <w:lang w:val="el-GR"/>
        </w:rPr>
        <w:t xml:space="preserve"> ένταση της ενίσχυσης ορίζεται στο 20% των επιλέξιμων δαπανών στην περίπτωση των μικρών επιχειρήσεων και στο 10% των επιλέξιμων δαπανών στην περίπτωση των επιχειρήσεων μεσαίου μεγέθους και έως του ποσού των επτά εκατομμυρίων πεντακοσίων χιλιάδων (7.500.000) ευρώ.</w:t>
      </w:r>
    </w:p>
    <w:sectPr w:rsidR="00460F61" w:rsidRPr="00CD2589" w:rsidSect="00D451E9">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90E" w:rsidRDefault="0067290E" w:rsidP="00DB565E">
      <w:r>
        <w:separator/>
      </w:r>
    </w:p>
  </w:endnote>
  <w:endnote w:type="continuationSeparator" w:id="0">
    <w:p w:rsidR="0067290E" w:rsidRDefault="0067290E" w:rsidP="00DB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G Times">
    <w:altName w:val="Times New Roman"/>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327074"/>
      <w:docPartObj>
        <w:docPartGallery w:val="Page Numbers (Bottom of Page)"/>
        <w:docPartUnique/>
      </w:docPartObj>
    </w:sdtPr>
    <w:sdtEndPr/>
    <w:sdtContent>
      <w:p w:rsidR="0067290E" w:rsidRDefault="0067290E">
        <w:pPr>
          <w:pStyle w:val="a6"/>
          <w:jc w:val="right"/>
        </w:pPr>
        <w:r>
          <w:rPr>
            <w:noProof/>
          </w:rPr>
          <w:fldChar w:fldCharType="begin"/>
        </w:r>
        <w:r>
          <w:rPr>
            <w:noProof/>
          </w:rPr>
          <w:instrText xml:space="preserve"> PAGE   \* MERGEFORMAT </w:instrText>
        </w:r>
        <w:r>
          <w:rPr>
            <w:noProof/>
          </w:rPr>
          <w:fldChar w:fldCharType="separate"/>
        </w:r>
        <w:r w:rsidR="000F0602">
          <w:rPr>
            <w:noProof/>
          </w:rPr>
          <w:t>6</w:t>
        </w:r>
        <w:r>
          <w:rPr>
            <w:noProof/>
          </w:rPr>
          <w:fldChar w:fldCharType="end"/>
        </w:r>
      </w:p>
    </w:sdtContent>
  </w:sdt>
  <w:p w:rsidR="0067290E" w:rsidRDefault="006729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90E" w:rsidRDefault="0067290E" w:rsidP="00DB565E">
      <w:r>
        <w:separator/>
      </w:r>
    </w:p>
  </w:footnote>
  <w:footnote w:type="continuationSeparator" w:id="0">
    <w:p w:rsidR="0067290E" w:rsidRDefault="0067290E" w:rsidP="00DB56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D7AAD"/>
    <w:multiLevelType w:val="hybridMultilevel"/>
    <w:tmpl w:val="18E8C28A"/>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254175BB"/>
    <w:multiLevelType w:val="hybridMultilevel"/>
    <w:tmpl w:val="A24E199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31DF03A5"/>
    <w:multiLevelType w:val="hybridMultilevel"/>
    <w:tmpl w:val="1F42AE10"/>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53407E1B"/>
    <w:multiLevelType w:val="hybridMultilevel"/>
    <w:tmpl w:val="067C33DA"/>
    <w:lvl w:ilvl="0" w:tplc="DA208A0A">
      <w:start w:val="1"/>
      <w:numFmt w:val="lowerRoman"/>
      <w:lvlText w:val="%1."/>
      <w:lvlJc w:val="left"/>
      <w:pPr>
        <w:ind w:left="2564" w:hanging="72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24"/>
    <w:rsid w:val="000F0602"/>
    <w:rsid w:val="000F57B7"/>
    <w:rsid w:val="00147096"/>
    <w:rsid w:val="00147D4F"/>
    <w:rsid w:val="001D4356"/>
    <w:rsid w:val="002029EA"/>
    <w:rsid w:val="0021572C"/>
    <w:rsid w:val="00222AEF"/>
    <w:rsid w:val="0027731D"/>
    <w:rsid w:val="002A4A29"/>
    <w:rsid w:val="002E16FE"/>
    <w:rsid w:val="00411D6C"/>
    <w:rsid w:val="00433CA1"/>
    <w:rsid w:val="00460F61"/>
    <w:rsid w:val="00516D7F"/>
    <w:rsid w:val="00570D6F"/>
    <w:rsid w:val="005A5181"/>
    <w:rsid w:val="005E4385"/>
    <w:rsid w:val="0063528B"/>
    <w:rsid w:val="00653266"/>
    <w:rsid w:val="0067290E"/>
    <w:rsid w:val="0069280B"/>
    <w:rsid w:val="007022F7"/>
    <w:rsid w:val="00714C2F"/>
    <w:rsid w:val="00766326"/>
    <w:rsid w:val="0079596B"/>
    <w:rsid w:val="008642BF"/>
    <w:rsid w:val="0087023B"/>
    <w:rsid w:val="009049DA"/>
    <w:rsid w:val="00956587"/>
    <w:rsid w:val="00997FEC"/>
    <w:rsid w:val="00A105BF"/>
    <w:rsid w:val="00AB0E24"/>
    <w:rsid w:val="00B254B3"/>
    <w:rsid w:val="00C50849"/>
    <w:rsid w:val="00C77FCB"/>
    <w:rsid w:val="00C93030"/>
    <w:rsid w:val="00CA2F82"/>
    <w:rsid w:val="00CD2589"/>
    <w:rsid w:val="00D12DB5"/>
    <w:rsid w:val="00D451E9"/>
    <w:rsid w:val="00DB565E"/>
    <w:rsid w:val="00DC21F0"/>
    <w:rsid w:val="00E111B5"/>
    <w:rsid w:val="00E51C03"/>
    <w:rsid w:val="00EB6B3A"/>
    <w:rsid w:val="00F523D3"/>
    <w:rsid w:val="00F92370"/>
    <w:rsid w:val="00FB10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489F9-B91F-41FB-A78C-89848879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E24"/>
    <w:pPr>
      <w:spacing w:after="0" w:line="240" w:lineRule="auto"/>
    </w:pPr>
    <w:rPr>
      <w:rFonts w:ascii="CG Times" w:eastAsia="Times New Roman" w:hAnsi="CG Times" w:cs="Times New Roman"/>
      <w:sz w:val="20"/>
      <w:szCs w:val="20"/>
      <w:lang w:val="en-US"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E24"/>
    <w:pPr>
      <w:spacing w:after="0" w:line="240" w:lineRule="auto"/>
    </w:pPr>
    <w:rPr>
      <w:rFonts w:ascii="CG Times" w:eastAsia="Times New Roman" w:hAnsi="CG Times" w:cs="Times New Roman"/>
      <w:sz w:val="20"/>
      <w:szCs w:val="20"/>
      <w:lang w:val="en-US" w:eastAsia="el-GR"/>
    </w:rPr>
  </w:style>
  <w:style w:type="character" w:customStyle="1" w:styleId="Char">
    <w:name w:val="Παράγραφος λίστας Char"/>
    <w:aliases w:val="Bullet21 Char,Bullet22 Char,Bullet23 Char,Bullet211 Char,Bullet24 Char,Bullet25 Char,Bullet26 Char,Bullet27 Char,bl11 Char,Bullet212 Char,Bullet28 Char,bl12 Char,Bullet213 Char,Bullet29 Char,bl13 Char,Bullet214 Char,Bullet210 Char"/>
    <w:link w:val="a4"/>
    <w:uiPriority w:val="1"/>
    <w:locked/>
    <w:rsid w:val="00AB0E24"/>
    <w:rPr>
      <w:rFonts w:ascii="Calibri" w:eastAsia="Times New Roman" w:hAnsi="Calibri" w:cs="Times New Roman"/>
      <w:lang w:val="en-US"/>
    </w:rPr>
  </w:style>
  <w:style w:type="paragraph" w:styleId="a4">
    <w:name w:val="List Paragraph"/>
    <w:aliases w:val="Bullet21,Bullet22,Bullet23,Bullet211,Bullet24,Bullet25,Bullet26,Bullet27,bl11,Bullet212,Bullet28,bl12,Bullet213,Bullet29,bl13,Bullet214,Bullet210,Bullet215,Γράφημα,Kommentar,FooterText,numbered,Paragraphe de liste1,lp1,Bullet2,bl1,列出段落"/>
    <w:basedOn w:val="a"/>
    <w:link w:val="Char"/>
    <w:uiPriority w:val="1"/>
    <w:qFormat/>
    <w:rsid w:val="00AB0E24"/>
    <w:pPr>
      <w:spacing w:after="200" w:line="276" w:lineRule="auto"/>
      <w:ind w:left="720"/>
      <w:contextualSpacing/>
    </w:pPr>
    <w:rPr>
      <w:rFonts w:ascii="Calibri" w:hAnsi="Calibri"/>
      <w:sz w:val="22"/>
      <w:szCs w:val="22"/>
      <w:lang w:eastAsia="en-US"/>
    </w:rPr>
  </w:style>
  <w:style w:type="character" w:styleId="-">
    <w:name w:val="Hyperlink"/>
    <w:basedOn w:val="a0"/>
    <w:uiPriority w:val="99"/>
    <w:semiHidden/>
    <w:unhideWhenUsed/>
    <w:rsid w:val="00AB0E24"/>
    <w:rPr>
      <w:color w:val="0000FF"/>
      <w:u w:val="single"/>
    </w:rPr>
  </w:style>
  <w:style w:type="paragraph" w:customStyle="1" w:styleId="CM1">
    <w:name w:val="CM1"/>
    <w:basedOn w:val="a"/>
    <w:next w:val="a"/>
    <w:uiPriority w:val="99"/>
    <w:rsid w:val="002E16FE"/>
    <w:pPr>
      <w:autoSpaceDE w:val="0"/>
      <w:autoSpaceDN w:val="0"/>
      <w:adjustRightInd w:val="0"/>
    </w:pPr>
    <w:rPr>
      <w:rFonts w:ascii="Times New Roman" w:eastAsiaTheme="minorHAnsi" w:hAnsi="Times New Roman"/>
      <w:sz w:val="24"/>
      <w:szCs w:val="24"/>
      <w:lang w:val="el-GR" w:eastAsia="en-US"/>
    </w:rPr>
  </w:style>
  <w:style w:type="paragraph" w:customStyle="1" w:styleId="CM3">
    <w:name w:val="CM3"/>
    <w:basedOn w:val="a"/>
    <w:next w:val="a"/>
    <w:uiPriority w:val="99"/>
    <w:rsid w:val="002E16FE"/>
    <w:pPr>
      <w:autoSpaceDE w:val="0"/>
      <w:autoSpaceDN w:val="0"/>
      <w:adjustRightInd w:val="0"/>
    </w:pPr>
    <w:rPr>
      <w:rFonts w:ascii="Times New Roman" w:eastAsiaTheme="minorHAnsi" w:hAnsi="Times New Roman"/>
      <w:sz w:val="24"/>
      <w:szCs w:val="24"/>
      <w:lang w:val="el-GR" w:eastAsia="en-US"/>
    </w:rPr>
  </w:style>
  <w:style w:type="paragraph" w:customStyle="1" w:styleId="CM4">
    <w:name w:val="CM4"/>
    <w:basedOn w:val="a"/>
    <w:next w:val="a"/>
    <w:uiPriority w:val="99"/>
    <w:rsid w:val="00714C2F"/>
    <w:pPr>
      <w:autoSpaceDE w:val="0"/>
      <w:autoSpaceDN w:val="0"/>
      <w:adjustRightInd w:val="0"/>
    </w:pPr>
    <w:rPr>
      <w:rFonts w:ascii="Times New Roman" w:eastAsiaTheme="minorHAnsi" w:hAnsi="Times New Roman"/>
      <w:sz w:val="24"/>
      <w:szCs w:val="24"/>
      <w:lang w:val="el-GR" w:eastAsia="en-US"/>
    </w:rPr>
  </w:style>
  <w:style w:type="paragraph" w:styleId="Web">
    <w:name w:val="Normal (Web)"/>
    <w:basedOn w:val="a"/>
    <w:uiPriority w:val="99"/>
    <w:semiHidden/>
    <w:unhideWhenUsed/>
    <w:rsid w:val="00A105BF"/>
    <w:pPr>
      <w:spacing w:before="100" w:beforeAutospacing="1" w:after="100" w:afterAutospacing="1"/>
    </w:pPr>
    <w:rPr>
      <w:rFonts w:ascii="Times New Roman" w:hAnsi="Times New Roman"/>
      <w:sz w:val="24"/>
      <w:szCs w:val="24"/>
      <w:lang w:val="el-GR"/>
    </w:rPr>
  </w:style>
  <w:style w:type="paragraph" w:styleId="a5">
    <w:name w:val="header"/>
    <w:basedOn w:val="a"/>
    <w:link w:val="Char0"/>
    <w:uiPriority w:val="99"/>
    <w:semiHidden/>
    <w:unhideWhenUsed/>
    <w:rsid w:val="00DB565E"/>
    <w:pPr>
      <w:tabs>
        <w:tab w:val="center" w:pos="4153"/>
        <w:tab w:val="right" w:pos="8306"/>
      </w:tabs>
    </w:pPr>
  </w:style>
  <w:style w:type="character" w:customStyle="1" w:styleId="Char0">
    <w:name w:val="Κεφαλίδα Char"/>
    <w:basedOn w:val="a0"/>
    <w:link w:val="a5"/>
    <w:uiPriority w:val="99"/>
    <w:semiHidden/>
    <w:rsid w:val="00DB565E"/>
    <w:rPr>
      <w:rFonts w:ascii="CG Times" w:eastAsia="Times New Roman" w:hAnsi="CG Times" w:cs="Times New Roman"/>
      <w:sz w:val="20"/>
      <w:szCs w:val="20"/>
      <w:lang w:val="en-US" w:eastAsia="el-GR"/>
    </w:rPr>
  </w:style>
  <w:style w:type="paragraph" w:styleId="a6">
    <w:name w:val="footer"/>
    <w:basedOn w:val="a"/>
    <w:link w:val="Char1"/>
    <w:uiPriority w:val="99"/>
    <w:unhideWhenUsed/>
    <w:rsid w:val="00DB565E"/>
    <w:pPr>
      <w:tabs>
        <w:tab w:val="center" w:pos="4153"/>
        <w:tab w:val="right" w:pos="8306"/>
      </w:tabs>
    </w:pPr>
  </w:style>
  <w:style w:type="character" w:customStyle="1" w:styleId="Char1">
    <w:name w:val="Υποσέλιδο Char"/>
    <w:basedOn w:val="a0"/>
    <w:link w:val="a6"/>
    <w:uiPriority w:val="99"/>
    <w:rsid w:val="00DB565E"/>
    <w:rPr>
      <w:rFonts w:ascii="CG Times" w:eastAsia="Times New Roman" w:hAnsi="CG Times"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43461">
      <w:bodyDiv w:val="1"/>
      <w:marLeft w:val="0"/>
      <w:marRight w:val="0"/>
      <w:marTop w:val="0"/>
      <w:marBottom w:val="0"/>
      <w:divBdr>
        <w:top w:val="none" w:sz="0" w:space="0" w:color="auto"/>
        <w:left w:val="none" w:sz="0" w:space="0" w:color="auto"/>
        <w:bottom w:val="none" w:sz="0" w:space="0" w:color="auto"/>
        <w:right w:val="none" w:sz="0" w:space="0" w:color="auto"/>
      </w:divBdr>
    </w:div>
    <w:div w:id="173565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2472</Words>
  <Characters>13352</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Μπεξής, Γεώργιος</cp:lastModifiedBy>
  <cp:revision>5</cp:revision>
  <dcterms:created xsi:type="dcterms:W3CDTF">2026-08-04T08:03:00Z</dcterms:created>
  <dcterms:modified xsi:type="dcterms:W3CDTF">2026-08-20T15:34:00Z</dcterms:modified>
</cp:coreProperties>
</file>